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9F4DE" w14:textId="792F86F6" w:rsidR="009D4A38" w:rsidRPr="00FD7158" w:rsidRDefault="0053132C">
      <w:pPr>
        <w:rPr>
          <w:b/>
          <w:bCs/>
        </w:rPr>
      </w:pPr>
      <w:r w:rsidRPr="00FD7158">
        <w:rPr>
          <w:b/>
          <w:bCs/>
        </w:rPr>
        <w:t>Thu hồi tài sản trong công cuộc phòng chống tham nhũng: Kinh nghiệm của Canada</w:t>
      </w:r>
    </w:p>
    <w:p w14:paraId="2F5974F1" w14:textId="346B1BCB" w:rsidR="0053132C" w:rsidRPr="00FD7158" w:rsidRDefault="0053132C">
      <w:pPr>
        <w:rPr>
          <w:b/>
          <w:bCs/>
        </w:rPr>
      </w:pPr>
      <w:r>
        <w:tab/>
      </w:r>
      <w:r>
        <w:tab/>
      </w:r>
      <w:r>
        <w:tab/>
      </w:r>
      <w:r>
        <w:tab/>
      </w:r>
      <w:r w:rsidR="00FD7158">
        <w:tab/>
      </w:r>
      <w:r w:rsidR="00FD7158">
        <w:tab/>
      </w:r>
      <w:r w:rsidR="00FD7158">
        <w:tab/>
      </w:r>
      <w:r w:rsidR="00FD7158">
        <w:tab/>
      </w:r>
      <w:r w:rsidR="00FD7158">
        <w:tab/>
      </w:r>
      <w:r w:rsidRPr="00FD7158">
        <w:rPr>
          <w:b/>
          <w:bCs/>
        </w:rPr>
        <w:t>Sebastien Lafrance</w:t>
      </w:r>
      <w:r w:rsidR="00AA0E71" w:rsidRPr="00AA0E71">
        <w:rPr>
          <w:rStyle w:val="FootnoteReference"/>
          <w:b/>
          <w:bCs/>
        </w:rPr>
        <w:footnoteReference w:customMarkFollows="1" w:id="1"/>
        <w:sym w:font="Symbol" w:char="F02A"/>
      </w:r>
    </w:p>
    <w:p w14:paraId="02AB5C68" w14:textId="66713928" w:rsidR="0053132C" w:rsidRDefault="0053132C" w:rsidP="00FD7158">
      <w:pPr>
        <w:ind w:left="2880" w:firstLine="720"/>
      </w:pPr>
      <w:r>
        <w:t>Luật sư (Công tố viên), Dịch vụ Công tố Canada</w:t>
      </w:r>
    </w:p>
    <w:p w14:paraId="466C5598" w14:textId="71EEEF51" w:rsidR="0053132C" w:rsidRPr="003A4C4B" w:rsidRDefault="0053132C" w:rsidP="0053132C">
      <w:pPr>
        <w:jc w:val="both"/>
        <w:rPr>
          <w:i/>
          <w:iCs/>
        </w:rPr>
      </w:pPr>
      <w:r w:rsidRPr="003A4C4B">
        <w:rPr>
          <w:i/>
          <w:iCs/>
        </w:rPr>
        <w:t>Bài viết giới thiệu c</w:t>
      </w:r>
      <w:r w:rsidR="006A1BC6" w:rsidRPr="003A4C4B">
        <w:rPr>
          <w:i/>
          <w:iCs/>
        </w:rPr>
        <w:t>hiến lược pháp lý áp dụng đối với việc thu hồi tài sản ở Canada để trang bị đầy đủ cho độc giả những công cụ cần thiết để hiểu được chiến lược này, quan niệm về tham nhũng – được hiểu trong luật hình sự của Canada cũng như quan niệm về thu hồi tài sản được dự liệu. Một vài vụ án tham nhũng nổi bật tại Canada cũng sẽ được thảo luận.</w:t>
      </w:r>
    </w:p>
    <w:p w14:paraId="765FFD98" w14:textId="0E058B80" w:rsidR="006A1BC6" w:rsidRDefault="006A1BC6" w:rsidP="0053132C">
      <w:pPr>
        <w:jc w:val="both"/>
      </w:pPr>
      <w:r w:rsidRPr="003A4C4B">
        <w:rPr>
          <w:b/>
          <w:bCs/>
        </w:rPr>
        <w:t>Từ khóa:</w:t>
      </w:r>
      <w:r>
        <w:t xml:space="preserve"> </w:t>
      </w:r>
      <w:r w:rsidRPr="003A4C4B">
        <w:rPr>
          <w:i/>
          <w:iCs/>
        </w:rPr>
        <w:t>thu hồi tài sản, chống tham nhũng, Canada</w:t>
      </w:r>
    </w:p>
    <w:p w14:paraId="05C57031" w14:textId="152A1A6A" w:rsidR="006A1BC6" w:rsidRPr="003A4C4B" w:rsidRDefault="005C0E47" w:rsidP="005C0E47">
      <w:pPr>
        <w:pStyle w:val="ListParagraph"/>
        <w:numPr>
          <w:ilvl w:val="0"/>
          <w:numId w:val="1"/>
        </w:numPr>
        <w:jc w:val="both"/>
        <w:rPr>
          <w:b/>
          <w:bCs/>
        </w:rPr>
      </w:pPr>
      <w:r w:rsidRPr="003A4C4B">
        <w:rPr>
          <w:b/>
          <w:bCs/>
        </w:rPr>
        <w:t>Dẫn nhập</w:t>
      </w:r>
    </w:p>
    <w:p w14:paraId="0B440E48" w14:textId="040CD3CF" w:rsidR="00FD7158" w:rsidRPr="00D66255" w:rsidRDefault="00D66255" w:rsidP="00A16D6B">
      <w:pPr>
        <w:ind w:firstLine="720"/>
        <w:jc w:val="both"/>
      </w:pPr>
      <w:r w:rsidRPr="00D66255">
        <w:t>Canada là một ví dụ trực quan, sinh động liên</w:t>
      </w:r>
      <w:r>
        <w:t xml:space="preserve"> quan đến vấn đề tham nhũng cũng như chiến lược pháp lý để thu hồi tài sản vì:</w:t>
      </w:r>
      <w:r>
        <w:rPr>
          <w:rStyle w:val="FootnoteReference"/>
        </w:rPr>
        <w:footnoteReference w:id="2"/>
      </w:r>
    </w:p>
    <w:p w14:paraId="4026166F" w14:textId="0C4B3729" w:rsidR="00FD7158" w:rsidRDefault="00D340A0" w:rsidP="00A16D6B">
      <w:pPr>
        <w:ind w:firstLine="720"/>
        <w:jc w:val="both"/>
      </w:pPr>
      <w:r w:rsidRPr="00D340A0">
        <w:t>Canada thường được coi là ngọn đu</w:t>
      </w:r>
      <w:r>
        <w:t xml:space="preserve">ốc của nền dân chủ thế giới. Điều này đến từ việc Canada đã phát triển thiết chế và pháp luật để thúc đẩy các giá trị và </w:t>
      </w:r>
      <w:r>
        <w:lastRenderedPageBreak/>
        <w:t>tường thành dân chủ. Mặc dù nổi tiếng như vậy nhưng Canada cũng đang trải qua một vài thách thức.</w:t>
      </w:r>
    </w:p>
    <w:p w14:paraId="3C8FE4A4" w14:textId="537CB2E2" w:rsidR="00D340A0" w:rsidRDefault="00D340A0" w:rsidP="00A16D6B">
      <w:pPr>
        <w:ind w:firstLine="720"/>
        <w:jc w:val="both"/>
      </w:pPr>
      <w:r>
        <w:t>Một trong những ví dụ điển hình nhất về tham nhũng trong lịch sử hiện đại của Canada</w:t>
      </w:r>
      <w:r w:rsidR="002B4067">
        <w:t>, được truyền thông quan tâm có lẽ là “Bê bối tài trợ”:</w:t>
      </w:r>
      <w:r w:rsidR="002B4067">
        <w:rPr>
          <w:rStyle w:val="FootnoteReference"/>
        </w:rPr>
        <w:footnoteReference w:id="3"/>
      </w:r>
    </w:p>
    <w:p w14:paraId="71E77139" w14:textId="5AD6EBB7" w:rsidR="002B4067" w:rsidRDefault="00042E4A" w:rsidP="00A16D6B">
      <w:pPr>
        <w:ind w:firstLine="720"/>
        <w:jc w:val="both"/>
      </w:pPr>
      <w:r>
        <w:t xml:space="preserve">Theo kết quả của cuộc trưng cầu dân ý về quyền tự chủ của Quebec năm 1995, </w:t>
      </w:r>
      <w:r w:rsidR="003B562C">
        <w:t xml:space="preserve">Nội các liên bang đã tạo ra Chương trình Tài trợ được thiết kế để </w:t>
      </w:r>
      <w:r w:rsidR="007E0947">
        <w:t xml:space="preserve">trung hòa bước tiến tự chủ và tăng cường giám sát chính quyền liên bang ở Quebec. Nhà báo đã viết một loạt các bài viết về Chương trình này. Anh ta tập trung chủ yếu vào một số hoạt động phức tạp liên quan đến sự quản lý của Chương trình. Sự viện dẫn chính nhắm vào việc sử dụng sai lệch công quỹ. Sau đó là báo cáo thiệt hại từ </w:t>
      </w:r>
      <w:r w:rsidR="007E32AB">
        <w:t xml:space="preserve">Tổng </w:t>
      </w:r>
      <w:r w:rsidR="007E0947">
        <w:t>Kiểm toán</w:t>
      </w:r>
      <w:r w:rsidR="007E32AB">
        <w:t>, Ủy ban Hoàng gia tham gia điều tra vụ việc chúng ta đang biết đến là “Bê bối tài trợ.”</w:t>
      </w:r>
    </w:p>
    <w:p w14:paraId="021DAFAA" w14:textId="7646D871" w:rsidR="007E32AB" w:rsidRDefault="007E32AB" w:rsidP="00A16D6B">
      <w:pPr>
        <w:ind w:firstLine="720"/>
        <w:jc w:val="both"/>
      </w:pPr>
      <w:r w:rsidRPr="0025456F">
        <w:t xml:space="preserve">Một ví dụ liên quan gần đây là </w:t>
      </w:r>
      <w:r w:rsidR="0025456F" w:rsidRPr="0025456F">
        <w:t>th</w:t>
      </w:r>
      <w:r w:rsidR="0025456F">
        <w:t>ị trưởng tạm thời của Montreal bị kết án vào năm 2017 vì nhận tiền của chủ thầu bất động sản và công ty kỹ sư để lạm dụng chức vụ, quyền hạn khi còn đương chức.</w:t>
      </w:r>
      <w:r w:rsidR="0025456F">
        <w:rPr>
          <w:rStyle w:val="FootnoteReference"/>
        </w:rPr>
        <w:footnoteReference w:id="4"/>
      </w:r>
    </w:p>
    <w:p w14:paraId="16EA6190" w14:textId="4EC05E3E" w:rsidR="00A556E1" w:rsidRDefault="00A556E1" w:rsidP="00A16D6B">
      <w:pPr>
        <w:ind w:firstLine="720"/>
        <w:jc w:val="both"/>
      </w:pPr>
      <w:r>
        <w:t xml:space="preserve">Như vậy, “sự cố hữu của ví dụ điển hình như vậy về quyền lực đã xa rời khỏi thời cổ. Nó tạo ra một tiếng vọng nhất định trong </w:t>
      </w:r>
      <w:r w:rsidR="009A135C">
        <w:t>chiến dịch phòng chống tham nhũng và đức hạnh hóa đời sống chính trị.”</w:t>
      </w:r>
      <w:r w:rsidR="009A135C">
        <w:rPr>
          <w:rStyle w:val="FootnoteReference"/>
        </w:rPr>
        <w:footnoteReference w:id="5"/>
      </w:r>
    </w:p>
    <w:p w14:paraId="44EC55D4" w14:textId="068793DF" w:rsidR="009A135C" w:rsidRPr="009A135C" w:rsidRDefault="009A135C" w:rsidP="00A16D6B">
      <w:pPr>
        <w:ind w:firstLine="720"/>
        <w:jc w:val="both"/>
      </w:pPr>
      <w:r w:rsidRPr="009A135C">
        <w:lastRenderedPageBreak/>
        <w:t>Tác giả Tromme viết “Luật tịch thu t</w:t>
      </w:r>
      <w:r>
        <w:t>ài sản là công cụ mạnh mẽ của các cơ quan thực thi pháp luật trong việc trấn áp tội phạm và tham nhũng thông qua việc tịch thu tài sản bất hợp pháp.”</w:t>
      </w:r>
      <w:r>
        <w:rPr>
          <w:rStyle w:val="FootnoteReference"/>
        </w:rPr>
        <w:footnoteReference w:id="6"/>
      </w:r>
      <w:r>
        <w:t xml:space="preserve"> Chúng ta sẽ thảo luận về những công cụ đang được nói tới theo quan niệm của Canada.</w:t>
      </w:r>
    </w:p>
    <w:p w14:paraId="702F9325" w14:textId="10378495" w:rsidR="005C0E47" w:rsidRPr="003A4C4B" w:rsidRDefault="003B0D62" w:rsidP="005C0E47">
      <w:pPr>
        <w:pStyle w:val="ListParagraph"/>
        <w:numPr>
          <w:ilvl w:val="0"/>
          <w:numId w:val="1"/>
        </w:numPr>
        <w:jc w:val="both"/>
        <w:rPr>
          <w:b/>
          <w:bCs/>
        </w:rPr>
      </w:pPr>
      <w:r w:rsidRPr="003A4C4B">
        <w:rPr>
          <w:b/>
          <w:bCs/>
        </w:rPr>
        <w:t>Quan niệm về tham nhũng của Canada</w:t>
      </w:r>
    </w:p>
    <w:p w14:paraId="3CE5FCF4" w14:textId="3A2CC937" w:rsidR="00FD7158" w:rsidRDefault="006B4570" w:rsidP="00A16D6B">
      <w:pPr>
        <w:ind w:firstLine="720"/>
        <w:jc w:val="both"/>
      </w:pPr>
      <w:r w:rsidRPr="006B4570">
        <w:t>Tác giả Gibbons viết “Dưới</w:t>
      </w:r>
      <w:r>
        <w:t xml:space="preserve"> dạng cụ thể, tham nhũng chính trị không cần có định nghĩa bởi việc sử dụng thuật ngữ này được số đông chấp thuận nhưng điều này chưa chuẩn xác bởi “tham nhũng” có một số nội hàm khác nhau trong lịch sử văn phạm Anh ngữ.”</w:t>
      </w:r>
      <w:r w:rsidR="00A556E1">
        <w:rPr>
          <w:rStyle w:val="FootnoteReference"/>
        </w:rPr>
        <w:footnoteReference w:id="7"/>
      </w:r>
      <w:r w:rsidR="00AF7400">
        <w:t xml:space="preserve"> Ông cũng bổ sung thêm “Hạt nhân của những định nghĩa về tham nhũng là sự lệch lạc trong hành vi đến từ một số quy phạm được thực thi trong hệ thống chính trị.”</w:t>
      </w:r>
      <w:r w:rsidR="00AF7400">
        <w:rPr>
          <w:rStyle w:val="FootnoteReference"/>
        </w:rPr>
        <w:footnoteReference w:id="8"/>
      </w:r>
      <w:r w:rsidR="00AF7400">
        <w:t xml:space="preserve"> Để dựa trên và sử dụng nền tảng về mặt định nghĩa cụ thể và dễ hiểu về tham nhũng trong bài tham luận</w:t>
      </w:r>
      <w:r w:rsidR="00BF66D5">
        <w:t>, mục dù biết rằng “tham nhũng cực kỳ khó định nghĩa”</w:t>
      </w:r>
      <w:r w:rsidR="00BF66D5">
        <w:rPr>
          <w:rStyle w:val="FootnoteReference"/>
        </w:rPr>
        <w:footnoteReference w:id="9"/>
      </w:r>
      <w:r w:rsidR="00BF66D5">
        <w:t xml:space="preserve"> thì định nghĩa về tham nhũng thường được các tổ chức chống tham nhũng sử dụng là: “lạm dụng </w:t>
      </w:r>
      <w:r w:rsidR="00155116">
        <w:t>quyền lực</w:t>
      </w:r>
      <w:r w:rsidR="00BF66D5">
        <w:t xml:space="preserve"> để tư lợi trái phép” … nó có thể diễn biến dưới nhiều hình thức và ở cấp độ khác nhau trong hệ thống cơ quan nhà nước.</w:t>
      </w:r>
      <w:r w:rsidR="00BF66D5">
        <w:rPr>
          <w:rStyle w:val="FootnoteReference"/>
        </w:rPr>
        <w:footnoteReference w:id="10"/>
      </w:r>
      <w:r w:rsidR="00BF66D5">
        <w:t xml:space="preserve"> Tác giả Lisciandra cụ thể hóa nội hàm của tham nhũng “</w:t>
      </w:r>
      <w:r w:rsidR="00155116">
        <w:t>ở nghĩa hẹp có thể coi là sự lạm dụng quyền lực công</w:t>
      </w:r>
      <w:r w:rsidR="00F67C54">
        <w:t xml:space="preserve"> để tư lợi chống lại lợi ích chung. Nhìn hẹp hơn, hối lộ cũng là một hình thức của tham nhũng</w:t>
      </w:r>
      <w:r w:rsidR="00315534">
        <w:t xml:space="preserve"> vì nó bao gồm sự hứa hẹn, trao tạng cũng như thu hút hoặc chấp nhận tham nhũng </w:t>
      </w:r>
      <w:r w:rsidR="00315534">
        <w:lastRenderedPageBreak/>
        <w:t>cũng như các hành động của cá nhân thực hiện nhiệm vụ công hoặc pháp lý.”</w:t>
      </w:r>
      <w:r w:rsidR="00315534">
        <w:rPr>
          <w:rStyle w:val="FootnoteReference"/>
        </w:rPr>
        <w:footnoteReference w:id="11"/>
      </w:r>
      <w:r w:rsidR="00315534">
        <w:t xml:space="preserve"> Kiểu tham nhũng này có thể xuất hiện ở công chức và tư nhân. Hình thức tối giản nhất của tham nhũng </w:t>
      </w:r>
      <w:r w:rsidR="00081A06">
        <w:t>trong phạm vi đó là hối lộ công chức.”</w:t>
      </w:r>
      <w:r w:rsidR="00081A06">
        <w:rPr>
          <w:rStyle w:val="FootnoteReference"/>
        </w:rPr>
        <w:footnoteReference w:id="12"/>
      </w:r>
    </w:p>
    <w:p w14:paraId="3FA56F24" w14:textId="287CC8E0" w:rsidR="00FD7158" w:rsidRDefault="00081A06" w:rsidP="00A16D6B">
      <w:pPr>
        <w:ind w:firstLine="720"/>
        <w:jc w:val="both"/>
      </w:pPr>
      <w:r w:rsidRPr="00081A06">
        <w:t xml:space="preserve">Ở Canada, hối lộ là </w:t>
      </w:r>
      <w:r w:rsidR="00525387">
        <w:t>“</w:t>
      </w:r>
      <w:r w:rsidRPr="00081A06">
        <w:t>chỉ là một dạng của th</w:t>
      </w:r>
      <w:r>
        <w:t>am nhũng” được quy định tại Điều 121 Bộ luật Hình sự, “được ban hành vì mục đích tối hậu là bảo tồn sự liêm chính của chính quyền.”</w:t>
      </w:r>
      <w:r>
        <w:rPr>
          <w:rStyle w:val="FootnoteReference"/>
        </w:rPr>
        <w:footnoteReference w:id="13"/>
      </w:r>
      <w:r>
        <w:t xml:space="preserve"> Điều 121(1)(c) quy định các trường hợp mà “công chức hoặc nhân viên chính phủ dù trực tiếp hay gián tiếp yêu cầu, nhậ</w:t>
      </w:r>
      <w:r w:rsidR="00BE1FB0">
        <w:t>n hoặc đồng ý nhận quà, lợi thế hoặc lợi ích cho họ hoặc bất kỳ người khác từ những người đang đấu thầu với chính quyền, trừ khi họ được thủ trưởng cơ quan đang công tác thể hiện sự ưng thuận bằng giấy.”</w:t>
      </w:r>
      <w:r w:rsidR="00BE1FB0">
        <w:rPr>
          <w:rStyle w:val="FootnoteReference"/>
        </w:rPr>
        <w:footnoteReference w:id="14"/>
      </w:r>
      <w:r w:rsidR="00BE1FB0">
        <w:t xml:space="preserve"> Tòa án Tối cao Canada đã áp dụng </w:t>
      </w:r>
      <w:r w:rsidR="00431C7D">
        <w:t xml:space="preserve">Điều 121(1)(c) trong vụ án </w:t>
      </w:r>
      <w:r w:rsidR="00431C7D" w:rsidRPr="00431C7D">
        <w:rPr>
          <w:i/>
          <w:iCs/>
        </w:rPr>
        <w:t>R. v. Hinchey</w:t>
      </w:r>
      <w:r w:rsidR="00431C7D">
        <w:t>, “không chú trọng vào việc quy định các thỏa thuận thông thường giữa người dân và chính phủ nhưng thực sự liên quan đến các cá nhân tại thời điểm tội phạm được thực hiện có thỏa thuận kinh doanh với chính phủ và quà tặng có thể có tác động lên việc thỏa thuận này.”</w:t>
      </w:r>
      <w:r w:rsidR="00431C7D">
        <w:rPr>
          <w:rStyle w:val="FootnoteReference"/>
        </w:rPr>
        <w:footnoteReference w:id="15"/>
      </w:r>
    </w:p>
    <w:p w14:paraId="079D7025" w14:textId="1FBF28E7" w:rsidR="002F546B" w:rsidRDefault="002F546B" w:rsidP="00A16D6B">
      <w:pPr>
        <w:ind w:firstLine="720"/>
        <w:jc w:val="both"/>
      </w:pPr>
      <w:r>
        <w:t xml:space="preserve">Vì nhũng thỏa thuận thông thường với chính phủ có thể có sự tham gia của một cá nhân, một doanh nghiệp hoặc cả hai, từ ngữ nên được rút gọn để mô tả về việc truy tố trách nhiệm hình sự ở Canada. Điều cốt lõi nhất tập trung vào các doanh nghiệp ở Canada theo phán quyết của thẩm phán trong vụ án </w:t>
      </w:r>
      <w:r w:rsidRPr="00CE1DF5">
        <w:rPr>
          <w:i/>
          <w:iCs/>
        </w:rPr>
        <w:t>R. c. Pétroles Global</w:t>
      </w:r>
      <w:r>
        <w:t xml:space="preserve">, “trách nhiệm hình sự của pháp nhân không còn được áp dụng theo </w:t>
      </w:r>
      <w:r w:rsidR="004314E4">
        <w:t>lý</w:t>
      </w:r>
      <w:r>
        <w:t xml:space="preserve"> thuyết “</w:t>
      </w:r>
      <w:r w:rsidR="004314E4">
        <w:t>ý chí trực tiếp</w:t>
      </w:r>
      <w:r>
        <w:t>”</w:t>
      </w:r>
      <w:r w:rsidR="004314E4">
        <w:t xml:space="preserve"> (</w:t>
      </w:r>
      <w:r w:rsidR="004314E4" w:rsidRPr="008C0B19">
        <w:rPr>
          <w:i/>
          <w:iCs/>
        </w:rPr>
        <w:t>directing mind</w:t>
      </w:r>
      <w:r w:rsidR="008C0B19" w:rsidRPr="008C0B19">
        <w:rPr>
          <w:i/>
          <w:iCs/>
        </w:rPr>
        <w:t xml:space="preserve"> theory</w:t>
      </w:r>
      <w:r w:rsidR="004314E4">
        <w:t xml:space="preserve">) mà tập trung vào “công </w:t>
      </w:r>
      <w:r w:rsidR="004314E4">
        <w:lastRenderedPageBreak/>
        <w:t>chức cấp cao”, đây là một sự thay đổi đáng kể của thông luật.”</w:t>
      </w:r>
      <w:r w:rsidR="004314E4">
        <w:rPr>
          <w:rStyle w:val="FootnoteReference"/>
        </w:rPr>
        <w:footnoteReference w:id="16"/>
      </w:r>
      <w:r w:rsidR="004314E4">
        <w:t xml:space="preserve"> Công chức cấp cao có thể tạo ra trách nhiệm hình sự đối với doanh nghiệp. Lý thuyết về “ý chí trực tiếp” (</w:t>
      </w:r>
      <w:r w:rsidR="004314E4" w:rsidRPr="00B9053B">
        <w:rPr>
          <w:i/>
          <w:iCs/>
        </w:rPr>
        <w:t>directing mind</w:t>
      </w:r>
      <w:r w:rsidR="00B9053B" w:rsidRPr="00B9053B">
        <w:rPr>
          <w:i/>
          <w:iCs/>
        </w:rPr>
        <w:t xml:space="preserve"> theory</w:t>
      </w:r>
      <w:r w:rsidR="004314E4">
        <w:t xml:space="preserve">) </w:t>
      </w:r>
      <w:r w:rsidR="009D4A38">
        <w:t>hoặc học thuyết về xác định doanh nghiệp được Tòa án Tối cao Canada ban hành trong phán quyết của vụ án Canadian Dredge &amp; Dock Co. v. The Queen</w:t>
      </w:r>
      <w:r w:rsidR="009D4A38">
        <w:rPr>
          <w:rStyle w:val="FootnoteReference"/>
        </w:rPr>
        <w:footnoteReference w:id="17"/>
      </w:r>
      <w:r w:rsidR="009D4A38">
        <w:t xml:space="preserve"> vào năm 1985: “học thuyết xuất hiện do nhu cầu giải quyết vấn đề như trong hoàn cảnh nào thì doanh nghiệp có thể là chủ thể của trách nhiệm hình sự đối với tội phạm có yếu tố tinh thần (</w:t>
      </w:r>
      <w:r w:rsidR="009D4A38" w:rsidRPr="00B9053B">
        <w:rPr>
          <w:i/>
          <w:iCs/>
        </w:rPr>
        <w:t>mens rea</w:t>
      </w:r>
      <w:r w:rsidR="009D4A38">
        <w:t>) (tội phạm đòi hỏi ý chí có tội).”</w:t>
      </w:r>
      <w:r w:rsidR="009D4A38">
        <w:rPr>
          <w:rStyle w:val="FootnoteReference"/>
        </w:rPr>
        <w:footnoteReference w:id="18"/>
      </w:r>
      <w:r w:rsidR="00137BC4">
        <w:t xml:space="preserve"> Để thêm vào lớp lang phức tạp, cần phải tái hiện lại, tuy nhiên, học thuyết xác định doanh nghiệp chỉ đúng và có thể áp dụng tại Canada.</w:t>
      </w:r>
      <w:r w:rsidR="00137BC4">
        <w:rPr>
          <w:rStyle w:val="FootnoteReference"/>
        </w:rPr>
        <w:footnoteReference w:id="19"/>
      </w:r>
      <w:r w:rsidR="00137BC4">
        <w:t xml:space="preserve"> Trong nỗ lực hòa giải hai cách tiếp cận, sẽ là công bằng và thận trọng khi xem xét việc truy tố trách nhiệm hình sự được mở rộng trên thực tế (</w:t>
      </w:r>
      <w:r w:rsidR="00137BC4" w:rsidRPr="00B9053B">
        <w:rPr>
          <w:i/>
          <w:iCs/>
        </w:rPr>
        <w:t>de facto</w:t>
      </w:r>
      <w:r w:rsidR="00137BC4">
        <w:t xml:space="preserve">) hơn </w:t>
      </w:r>
      <w:r w:rsidR="000145F4">
        <w:t xml:space="preserve">là chỉ tập trung vào “ý chí trực tiếp” của doanh nghiệp; tuy nhiên hiện tại nó đã được mở rộng thông qua việc ban hành Điều 22.2 Bộ luật Hình sự về “quan </w:t>
      </w:r>
      <w:r w:rsidR="000145F4">
        <w:lastRenderedPageBreak/>
        <w:t>chức cấp cao”. Nói tóm lại, một cá nhân hoặc một doanh nghiệp</w:t>
      </w:r>
      <w:r w:rsidR="000145F4">
        <w:rPr>
          <w:rStyle w:val="FootnoteReference"/>
        </w:rPr>
        <w:footnoteReference w:id="20"/>
      </w:r>
      <w:r w:rsidR="000145F4">
        <w:t xml:space="preserve"> có thể phải chịu trách nhiệm hình sự và bị truy tố tội tham nhũng theo luật hình sự Canada. </w:t>
      </w:r>
    </w:p>
    <w:p w14:paraId="40D407B3" w14:textId="0E47B79B" w:rsidR="006C10E7" w:rsidRDefault="006C10E7" w:rsidP="00A16D6B">
      <w:pPr>
        <w:ind w:firstLine="720"/>
        <w:jc w:val="both"/>
      </w:pPr>
      <w:r>
        <w:t xml:space="preserve">Tòa án Tối cao Canada nhận định trong vụ án </w:t>
      </w:r>
      <w:r w:rsidRPr="00916D29">
        <w:rPr>
          <w:i/>
          <w:iCs/>
        </w:rPr>
        <w:t>R. v. Hinchey</w:t>
      </w:r>
      <w:r>
        <w:t xml:space="preserve">, Điều 121(1)(c) của Bộ luật Hình sự </w:t>
      </w:r>
      <w:r w:rsidR="00B15CC0">
        <w:t>“là một trong vô số các cách Chính phủ cố gắng để đạt được mục đích này (ví dụ như bảo toàn sự liêm chính của chính quyền). Ví dụ, lướt qua Bộ luật Hình sự từ Điều 119 đến Điều 125, các phương pháp khác nhau được luật quy định rõ về nỗ lực ngăn cản các hành vi của cá nhân đang thỏa thuận hoặc làm việc cho Chính phủ.”</w:t>
      </w:r>
      <w:r w:rsidR="00B15CC0">
        <w:rPr>
          <w:rStyle w:val="FootnoteReference"/>
        </w:rPr>
        <w:footnoteReference w:id="21"/>
      </w:r>
      <w:r w:rsidR="00B15CC0">
        <w:t xml:space="preserve"> Để nhìn nhận tổng thể hơn về các Điều, </w:t>
      </w:r>
      <w:r w:rsidR="008A3F0F">
        <w:t>“Cách diễn đạt của Điều 121(1)(a)(ii) khá rõ ràng và toàn diện. Nó được thiết kế để ngăn cản việc công chức trong việc đảm nhận, xem xét, hành động trên phương diện một người đang thỏa thuận với Chính phủ.”</w:t>
      </w:r>
      <w:r w:rsidR="008A3F0F">
        <w:rPr>
          <w:rStyle w:val="FootnoteReference"/>
        </w:rPr>
        <w:footnoteReference w:id="22"/>
      </w:r>
      <w:r w:rsidR="008A3F0F">
        <w:t xml:space="preserve"> Điều 121(1)(b) tập trung vào sự hạn chế lợi ích </w:t>
      </w:r>
      <w:r w:rsidR="00BD433A">
        <w:t xml:space="preserve">được trao cho công chức trong quá trình đấu thầu giữa bị can và Chính phủ. Trong vụ án </w:t>
      </w:r>
      <w:r w:rsidR="00BD433A" w:rsidRPr="00916D29">
        <w:rPr>
          <w:i/>
          <w:iCs/>
        </w:rPr>
        <w:t>R. v. Carson</w:t>
      </w:r>
      <w:r w:rsidR="00BD433A">
        <w:t>, Tòa án Tối cao Canada lập luận rằng: “Điều 121(1)(c) và Điều 121(1)(d) cố gắng bảo toàn cả sự liêm chính của chính quyền và sự xuất hiện của nó.”</w:t>
      </w:r>
      <w:r w:rsidR="00BD433A">
        <w:rPr>
          <w:rStyle w:val="FootnoteReference"/>
        </w:rPr>
        <w:footnoteReference w:id="23"/>
      </w:r>
      <w:r w:rsidR="00BD433A">
        <w:t xml:space="preserve"> Điều 122 </w:t>
      </w:r>
      <w:r w:rsidR="00916D29">
        <w:t>nghiêm cấm hành vi lạm dụng tín nhiệm để tham nhũng của công chức.</w:t>
      </w:r>
    </w:p>
    <w:p w14:paraId="705B5D8B" w14:textId="39BFF50B" w:rsidR="00916D29" w:rsidRDefault="00916D29" w:rsidP="00A16D6B">
      <w:pPr>
        <w:ind w:firstLine="720"/>
        <w:jc w:val="both"/>
      </w:pPr>
      <w:r w:rsidRPr="00916D29">
        <w:t>Các tội danh gắn liền với th</w:t>
      </w:r>
      <w:r>
        <w:t xml:space="preserve">am nhũng được đề cập trong cuốn </w:t>
      </w:r>
      <w:r w:rsidRPr="00916D29">
        <w:rPr>
          <w:i/>
          <w:iCs/>
        </w:rPr>
        <w:t>Corruption of Foreign Public Officials Act (</w:t>
      </w:r>
      <w:r w:rsidR="00126E78">
        <w:rPr>
          <w:i/>
          <w:iCs/>
        </w:rPr>
        <w:t>Đạo luật về</w:t>
      </w:r>
      <w:r w:rsidRPr="00916D29">
        <w:rPr>
          <w:i/>
          <w:iCs/>
        </w:rPr>
        <w:t xml:space="preserve"> tham nhũng của công chức </w:t>
      </w:r>
      <w:r w:rsidR="00FA79D4">
        <w:rPr>
          <w:i/>
          <w:iCs/>
        </w:rPr>
        <w:t>ngoại quốc</w:t>
      </w:r>
      <w:r w:rsidRPr="00916D29">
        <w:rPr>
          <w:i/>
          <w:iCs/>
        </w:rPr>
        <w:t>)</w:t>
      </w:r>
      <w:r>
        <w:rPr>
          <w:rStyle w:val="FootnoteReference"/>
        </w:rPr>
        <w:footnoteReference w:id="24"/>
      </w:r>
      <w:r>
        <w:t>.</w:t>
      </w:r>
      <w:r>
        <w:rPr>
          <w:rStyle w:val="FootnoteReference"/>
        </w:rPr>
        <w:footnoteReference w:id="25"/>
      </w:r>
      <w:r>
        <w:t xml:space="preserve"> Ví dụ trong vụ án R. v. Karigar</w:t>
      </w:r>
      <w:r>
        <w:rPr>
          <w:rStyle w:val="FootnoteReference"/>
        </w:rPr>
        <w:footnoteReference w:id="26"/>
      </w:r>
      <w:r w:rsidR="00126E78">
        <w:t xml:space="preserve">, bị cáo bị buộc tội hối lộ công chức </w:t>
      </w:r>
      <w:r w:rsidR="00126E78">
        <w:lastRenderedPageBreak/>
        <w:t xml:space="preserve">nước ngoài theo đúng Điều 3(1)(b). Theo </w:t>
      </w:r>
      <w:r w:rsidR="00126E78" w:rsidRPr="00A16D6B">
        <w:rPr>
          <w:i/>
          <w:iCs/>
        </w:rPr>
        <w:t xml:space="preserve">Đạo luật </w:t>
      </w:r>
      <w:r w:rsidR="00FA79D4" w:rsidRPr="00A16D6B">
        <w:rPr>
          <w:i/>
          <w:iCs/>
        </w:rPr>
        <w:t>đóng băng tài sản của quan chức tham nhũng ngoại quốc (Freezing Assets of Corrupt Foreign Officials Act)</w:t>
      </w:r>
      <w:r w:rsidR="00A16D6B">
        <w:rPr>
          <w:rStyle w:val="FootnoteReference"/>
          <w:i/>
          <w:iCs/>
        </w:rPr>
        <w:footnoteReference w:id="27"/>
      </w:r>
      <w:r w:rsidR="00FA79D4">
        <w:t xml:space="preserve">, Chính phủ Canada có thể ban hành trình tự và quy định để đóng băn tài sản hoặc hạn chế </w:t>
      </w:r>
      <w:r w:rsidR="00A16D6B">
        <w:t xml:space="preserve">tài sản của cựu nguyên thủ quốc gia và quan chức cấp cao với một số tiền đề cụ thể. </w:t>
      </w:r>
    </w:p>
    <w:p w14:paraId="142881BD" w14:textId="718CF068" w:rsidR="00A16D6B" w:rsidRDefault="00A16D6B" w:rsidP="00A16D6B">
      <w:pPr>
        <w:ind w:firstLine="720"/>
        <w:jc w:val="both"/>
      </w:pPr>
      <w:r>
        <w:t>Tóm lại, Bộ luật Hình sự và Đạo luật về tham nhũng của công chức ngoại quốc là những mảnh ghép pháp lý quan trọng trong việc quản trị nạn hối lộ ở Canada. Trong bài viết này, chúng ta sẽ tập trung chính vào Bộ luật Hình sự.</w:t>
      </w:r>
    </w:p>
    <w:p w14:paraId="46EFB008" w14:textId="5538A79D" w:rsidR="00A16D6B" w:rsidRDefault="00A16D6B" w:rsidP="00A16D6B">
      <w:pPr>
        <w:ind w:firstLine="720"/>
        <w:jc w:val="both"/>
      </w:pPr>
      <w:r>
        <w:t xml:space="preserve">Tuy nhiên, “luật hình sự Canada không phải là phương thức duy nhất để giải quyết vấn nạn tham nhũng; một vài Đạo luật chứa các quy định </w:t>
      </w:r>
      <w:r w:rsidR="006B396A">
        <w:t>kiểm soát các hành vi tham nhũng và gian lận, cũng chính là xung đột lợi ích và các hướng dẫn về đạo đức để điều chỉnh hành vi.”</w:t>
      </w:r>
      <w:r w:rsidR="006B396A">
        <w:rPr>
          <w:rStyle w:val="FootnoteReference"/>
        </w:rPr>
        <w:footnoteReference w:id="28"/>
      </w:r>
      <w:r w:rsidR="008B5D3B">
        <w:t xml:space="preserve"> </w:t>
      </w:r>
      <w:r w:rsidR="00D56B27">
        <w:t>Các giá trị và Bộ quy tắc ứng xử cho khối công</w:t>
      </w:r>
      <w:r w:rsidR="00DF3EE6">
        <w:t xml:space="preserve"> (The Values and Ethics Code for Public Sector)</w:t>
      </w:r>
      <w:r w:rsidR="00D56B27">
        <w:rPr>
          <w:rStyle w:val="FootnoteReference"/>
        </w:rPr>
        <w:footnoteReference w:id="29"/>
      </w:r>
      <w:r w:rsidR="00D56B27">
        <w:t xml:space="preserve">, tài liệu của Chính phủ mang tên </w:t>
      </w:r>
      <w:r w:rsidR="00D56B27" w:rsidRPr="00DF3EE6">
        <w:rPr>
          <w:i/>
          <w:iCs/>
        </w:rPr>
        <w:t xml:space="preserve">Chính phủ giải trình – Hướng dẫn </w:t>
      </w:r>
      <w:r w:rsidR="00DF3EE6" w:rsidRPr="00DF3EE6">
        <w:rPr>
          <w:i/>
          <w:iCs/>
        </w:rPr>
        <w:t>dành cho Bộ trưởng và Thứ trưởng (Accountable Government – A Guide for Ministers and Ministers of State)</w:t>
      </w:r>
      <w:r w:rsidR="00DF3EE6">
        <w:rPr>
          <w:rStyle w:val="FootnoteReference"/>
        </w:rPr>
        <w:footnoteReference w:id="30"/>
      </w:r>
      <w:r w:rsidR="00DF3EE6">
        <w:rPr>
          <w:i/>
          <w:iCs/>
        </w:rPr>
        <w:t xml:space="preserve">, </w:t>
      </w:r>
      <w:r w:rsidR="00DF3EE6" w:rsidRPr="00D76729">
        <w:rPr>
          <w:i/>
          <w:iCs/>
        </w:rPr>
        <w:t>Đạo luật về Xung đột lợi ích</w:t>
      </w:r>
      <w:r w:rsidR="00DF3EE6">
        <w:rPr>
          <w:rStyle w:val="FootnoteReference"/>
        </w:rPr>
        <w:footnoteReference w:id="31"/>
      </w:r>
      <w:r w:rsidR="00DF3EE6">
        <w:t xml:space="preserve">, </w:t>
      </w:r>
      <w:r w:rsidR="00DF3EE6" w:rsidRPr="00D76729">
        <w:rPr>
          <w:i/>
          <w:iCs/>
        </w:rPr>
        <w:t>Đạo luật Vận động hành lang</w:t>
      </w:r>
      <w:r w:rsidR="00DF3EE6">
        <w:rPr>
          <w:rStyle w:val="FootnoteReference"/>
        </w:rPr>
        <w:footnoteReference w:id="32"/>
      </w:r>
      <w:r w:rsidR="00DF3EE6">
        <w:t xml:space="preserve">, </w:t>
      </w:r>
      <w:r w:rsidR="00DF3EE6" w:rsidRPr="00D76729">
        <w:rPr>
          <w:i/>
          <w:iCs/>
        </w:rPr>
        <w:t>Đạo luật Bảo vệ công chức khiếu nại</w:t>
      </w:r>
      <w:r w:rsidR="00DF3EE6">
        <w:rPr>
          <w:rStyle w:val="FootnoteReference"/>
        </w:rPr>
        <w:footnoteReference w:id="33"/>
      </w:r>
      <w:r w:rsidR="00DF3EE6">
        <w:t xml:space="preserve"> và </w:t>
      </w:r>
      <w:r w:rsidR="004B3EC1" w:rsidRPr="00D76729">
        <w:rPr>
          <w:i/>
          <w:iCs/>
        </w:rPr>
        <w:t>Bộ luật về Xung đột lợi ích của Hạ nghị sĩ</w:t>
      </w:r>
      <w:r w:rsidR="004B3EC1">
        <w:rPr>
          <w:rStyle w:val="FootnoteReference"/>
        </w:rPr>
        <w:footnoteReference w:id="34"/>
      </w:r>
      <w:r w:rsidR="004B3EC1">
        <w:t xml:space="preserve"> đều </w:t>
      </w:r>
      <w:r w:rsidR="004B3EC1">
        <w:lastRenderedPageBreak/>
        <w:t>là những công cụ pháp lý được ban hành tại Canada để chống lại xung đột lợi ích của dịch vụ công một cách cụ thể</w:t>
      </w:r>
      <w:r w:rsidR="004B3EC1">
        <w:rPr>
          <w:rStyle w:val="FootnoteReference"/>
        </w:rPr>
        <w:footnoteReference w:id="35"/>
      </w:r>
      <w:r w:rsidR="004B3EC1">
        <w:t xml:space="preserve">. </w:t>
      </w:r>
      <w:r w:rsidR="004B3EC1" w:rsidRPr="004B3EC1">
        <w:t>Một ghi chú nhỏ là Canada cũng là một lãnh đ</w:t>
      </w:r>
      <w:r w:rsidR="004B3EC1">
        <w:t>ạo quốc tế liên quan đến việc nghiên cứu và quản lý xung đột lợi ích.</w:t>
      </w:r>
      <w:r w:rsidR="004B3EC1">
        <w:rPr>
          <w:rStyle w:val="FootnoteReference"/>
        </w:rPr>
        <w:footnoteReference w:id="36"/>
      </w:r>
      <w:r w:rsidR="004621F3">
        <w:t>.</w:t>
      </w:r>
    </w:p>
    <w:p w14:paraId="79831D8E" w14:textId="23162B46" w:rsidR="003E3B5E" w:rsidRDefault="003E3B5E" w:rsidP="00A16D6B">
      <w:pPr>
        <w:ind w:firstLine="720"/>
        <w:jc w:val="both"/>
      </w:pPr>
      <w:r>
        <w:t>Nói tóm lại, hầu hết các tội danh liên quan đến hành vi hối lộ ở Canada được liệt kê phía dưới.</w:t>
      </w:r>
    </w:p>
    <w:p w14:paraId="50275104" w14:textId="2FF61CBF" w:rsidR="004621F3" w:rsidRPr="00972380" w:rsidRDefault="004621F3" w:rsidP="004621F3">
      <w:pPr>
        <w:pStyle w:val="ListParagraph"/>
        <w:numPr>
          <w:ilvl w:val="0"/>
          <w:numId w:val="4"/>
        </w:numPr>
        <w:jc w:val="both"/>
        <w:rPr>
          <w:u w:val="single"/>
        </w:rPr>
      </w:pPr>
      <w:r w:rsidRPr="00972380">
        <w:rPr>
          <w:u w:val="single"/>
        </w:rPr>
        <w:t xml:space="preserve">Trong </w:t>
      </w:r>
      <w:r w:rsidRPr="00972380">
        <w:rPr>
          <w:i/>
          <w:iCs/>
          <w:u w:val="single"/>
        </w:rPr>
        <w:t>Bộ luật Hình sự:</w:t>
      </w:r>
    </w:p>
    <w:p w14:paraId="0FB9A215" w14:textId="18E9164A" w:rsidR="004621F3" w:rsidRDefault="004621F3" w:rsidP="004621F3">
      <w:pPr>
        <w:pStyle w:val="ListParagraph"/>
        <w:numPr>
          <w:ilvl w:val="1"/>
          <w:numId w:val="4"/>
        </w:numPr>
        <w:jc w:val="both"/>
      </w:pPr>
      <w:r w:rsidRPr="004621F3">
        <w:t>Hối lộ quan chức tư</w:t>
      </w:r>
      <w:r>
        <w:t xml:space="preserve"> pháp (Điều 119)</w:t>
      </w:r>
    </w:p>
    <w:p w14:paraId="6138B9A2" w14:textId="1E2F8AB4" w:rsidR="004621F3" w:rsidRDefault="004621F3" w:rsidP="004621F3">
      <w:pPr>
        <w:pStyle w:val="ListParagraph"/>
        <w:numPr>
          <w:ilvl w:val="1"/>
          <w:numId w:val="4"/>
        </w:numPr>
        <w:jc w:val="both"/>
      </w:pPr>
      <w:r>
        <w:t>Hối lộ công chức (Điều 120)</w:t>
      </w:r>
    </w:p>
    <w:p w14:paraId="20E8DA68" w14:textId="7FC7CD6E" w:rsidR="004621F3" w:rsidRDefault="004621F3" w:rsidP="004621F3">
      <w:pPr>
        <w:pStyle w:val="ListParagraph"/>
        <w:numPr>
          <w:ilvl w:val="1"/>
          <w:numId w:val="4"/>
        </w:numPr>
        <w:jc w:val="both"/>
      </w:pPr>
      <w:r>
        <w:t>Gian lận trong Chính phủ (Điều 121)</w:t>
      </w:r>
    </w:p>
    <w:p w14:paraId="2F20DF49" w14:textId="4B09A991" w:rsidR="004621F3" w:rsidRDefault="004621F3" w:rsidP="004621F3">
      <w:pPr>
        <w:pStyle w:val="ListParagraph"/>
        <w:numPr>
          <w:ilvl w:val="1"/>
          <w:numId w:val="4"/>
        </w:numPr>
        <w:jc w:val="both"/>
      </w:pPr>
      <w:r w:rsidRPr="004621F3">
        <w:t>Công chức vi phạm t</w:t>
      </w:r>
      <w:r>
        <w:t>ín nhiệ (Điều 122)</w:t>
      </w:r>
    </w:p>
    <w:p w14:paraId="4CBAEFA0" w14:textId="1291D846" w:rsidR="004621F3" w:rsidRDefault="0065710B" w:rsidP="004621F3">
      <w:pPr>
        <w:pStyle w:val="ListParagraph"/>
        <w:numPr>
          <w:ilvl w:val="1"/>
          <w:numId w:val="4"/>
        </w:numPr>
        <w:jc w:val="both"/>
      </w:pPr>
      <w:r>
        <w:t>Tham nhũng cấp thành phố (Điều 123)</w:t>
      </w:r>
    </w:p>
    <w:p w14:paraId="0022A610" w14:textId="3095DA64" w:rsidR="0065710B" w:rsidRDefault="0065710B" w:rsidP="004621F3">
      <w:pPr>
        <w:pStyle w:val="ListParagraph"/>
        <w:numPr>
          <w:ilvl w:val="1"/>
          <w:numId w:val="4"/>
        </w:numPr>
        <w:jc w:val="both"/>
      </w:pPr>
      <w:r>
        <w:t>Mua hoặc bán chức vụ (Điều 124)</w:t>
      </w:r>
    </w:p>
    <w:p w14:paraId="7FE80E3C" w14:textId="121C309D" w:rsidR="0065710B" w:rsidRDefault="0065710B" w:rsidP="004621F3">
      <w:pPr>
        <w:pStyle w:val="ListParagraph"/>
        <w:numPr>
          <w:ilvl w:val="1"/>
          <w:numId w:val="4"/>
        </w:numPr>
        <w:jc w:val="both"/>
      </w:pPr>
      <w:r>
        <w:t>Ảnh hưởng hoặc dàn xếp hoặc thỏa thuận lên cơ quan (Điều 125)</w:t>
      </w:r>
    </w:p>
    <w:p w14:paraId="5E81AB7C" w14:textId="54753175" w:rsidR="0065710B" w:rsidRDefault="0065710B" w:rsidP="004621F3">
      <w:pPr>
        <w:pStyle w:val="ListParagraph"/>
        <w:numPr>
          <w:ilvl w:val="1"/>
          <w:numId w:val="4"/>
        </w:numPr>
        <w:jc w:val="both"/>
      </w:pPr>
      <w:r>
        <w:t>Gian lận (Điều 380)</w:t>
      </w:r>
    </w:p>
    <w:p w14:paraId="2EF738A3" w14:textId="23101CD1" w:rsidR="0065710B" w:rsidRDefault="0065710B" w:rsidP="0065710B">
      <w:pPr>
        <w:pStyle w:val="ListParagraph"/>
        <w:numPr>
          <w:ilvl w:val="2"/>
          <w:numId w:val="4"/>
        </w:numPr>
        <w:jc w:val="both"/>
      </w:pPr>
      <w:r w:rsidRPr="0065710B">
        <w:t xml:space="preserve">Đây là một tội danh dành </w:t>
      </w:r>
      <w:r>
        <w:t>cho bất kỳ ai lừa gạt công chúng hoặc bất cứ cá nhân, tài sản, tiền, vật bảo đảm có giá hoặc dịch vụ</w:t>
      </w:r>
      <w:r w:rsidR="008E21E8">
        <w:t xml:space="preserve"> bằng cách lừa đảo, nói dối hoặc các hình thức gian lận khác. Tòa án Tối cao Canada</w:t>
      </w:r>
      <w:r w:rsidR="008E21E8">
        <w:rPr>
          <w:rStyle w:val="FootnoteReference"/>
        </w:rPr>
        <w:footnoteReference w:id="37"/>
      </w:r>
      <w:r w:rsidR="008E21E8">
        <w:t xml:space="preserve"> đã xác định rằng “các hình thức gian lận </w:t>
      </w:r>
      <w:r w:rsidR="008E21E8">
        <w:lastRenderedPageBreak/>
        <w:t>khác” rất rộng và bao trọn hầu hết các hình thức thiếu trung thực. Do đó, các quy định chung của Bộ luật hình sự về gian lận có thể được áp dụng trong bối cảnh của hối lộ.</w:t>
      </w:r>
    </w:p>
    <w:p w14:paraId="33DF92D1" w14:textId="3A545105" w:rsidR="008E21E8" w:rsidRDefault="00972380" w:rsidP="008E21E8">
      <w:pPr>
        <w:pStyle w:val="ListParagraph"/>
        <w:numPr>
          <w:ilvl w:val="1"/>
          <w:numId w:val="4"/>
        </w:numPr>
        <w:jc w:val="both"/>
      </w:pPr>
      <w:r>
        <w:t>Nhiệm vụ bí mật (Điều 426): Hối lộ cho mục đích tại Điều này được định nghĩa là tiền thưởng, lợi thể hoặc các lợi ích khác.</w:t>
      </w:r>
    </w:p>
    <w:p w14:paraId="4FB4ED54" w14:textId="410658D1" w:rsidR="00972380" w:rsidRPr="00972380" w:rsidRDefault="00972380" w:rsidP="00972380">
      <w:pPr>
        <w:pStyle w:val="ListParagraph"/>
        <w:numPr>
          <w:ilvl w:val="0"/>
          <w:numId w:val="4"/>
        </w:numPr>
        <w:jc w:val="both"/>
        <w:rPr>
          <w:u w:val="single"/>
        </w:rPr>
      </w:pPr>
      <w:r w:rsidRPr="00972380">
        <w:rPr>
          <w:u w:val="single"/>
        </w:rPr>
        <w:t xml:space="preserve">Theo </w:t>
      </w:r>
      <w:r w:rsidRPr="00972380">
        <w:rPr>
          <w:i/>
          <w:iCs/>
          <w:u w:val="single"/>
        </w:rPr>
        <w:t>Đạo luật về tham nhũng của quan chức ngoại quốc</w:t>
      </w:r>
      <w:r>
        <w:rPr>
          <w:u w:val="single"/>
        </w:rPr>
        <w:t>:</w:t>
      </w:r>
    </w:p>
    <w:p w14:paraId="344B601C" w14:textId="4EB2DC95" w:rsidR="00972380" w:rsidRDefault="00972380" w:rsidP="00972380">
      <w:pPr>
        <w:pStyle w:val="ListParagraph"/>
        <w:numPr>
          <w:ilvl w:val="1"/>
          <w:numId w:val="4"/>
        </w:numPr>
        <w:jc w:val="both"/>
      </w:pPr>
      <w:r>
        <w:t>Hối lộ công chức ngoại quốc (Điều 3)</w:t>
      </w:r>
    </w:p>
    <w:p w14:paraId="3EC530F9" w14:textId="4CA91DD1" w:rsidR="00972380" w:rsidRDefault="00972380" w:rsidP="00972380">
      <w:pPr>
        <w:pStyle w:val="ListParagraph"/>
        <w:numPr>
          <w:ilvl w:val="1"/>
          <w:numId w:val="4"/>
        </w:numPr>
        <w:jc w:val="both"/>
      </w:pPr>
      <w:r>
        <w:t>Giả mạo nhằm hối lộ hoặc cải trang hối lộ của công chức ngoại quốc (Điều 4)</w:t>
      </w:r>
    </w:p>
    <w:p w14:paraId="0EE9A781" w14:textId="598493B5" w:rsidR="00972380" w:rsidRPr="00F7652F" w:rsidRDefault="00972380" w:rsidP="00972380">
      <w:pPr>
        <w:pStyle w:val="ListParagraph"/>
        <w:numPr>
          <w:ilvl w:val="0"/>
          <w:numId w:val="4"/>
        </w:numPr>
        <w:jc w:val="both"/>
        <w:rPr>
          <w:u w:val="single"/>
        </w:rPr>
      </w:pPr>
      <w:r w:rsidRPr="00F7652F">
        <w:rPr>
          <w:u w:val="single"/>
        </w:rPr>
        <w:t xml:space="preserve">Theo </w:t>
      </w:r>
      <w:r w:rsidRPr="00F7652F">
        <w:rPr>
          <w:i/>
          <w:iCs/>
          <w:u w:val="single"/>
        </w:rPr>
        <w:t>Đạo luật Xung đột lợi ích:</w:t>
      </w:r>
    </w:p>
    <w:p w14:paraId="4E23732D" w14:textId="43AFBE43" w:rsidR="00972380" w:rsidRDefault="00F7652F" w:rsidP="00972380">
      <w:pPr>
        <w:pStyle w:val="ListParagraph"/>
        <w:numPr>
          <w:ilvl w:val="1"/>
          <w:numId w:val="4"/>
        </w:numPr>
        <w:jc w:val="both"/>
      </w:pPr>
      <w:r w:rsidRPr="00F7652F">
        <w:t xml:space="preserve">Quà tặng và các lợi </w:t>
      </w:r>
      <w:r>
        <w:t>ích khác (Điều 11)</w:t>
      </w:r>
    </w:p>
    <w:p w14:paraId="4822F737" w14:textId="7C639F31" w:rsidR="00F7652F" w:rsidRDefault="005751DF" w:rsidP="00972380">
      <w:pPr>
        <w:pStyle w:val="ListParagraph"/>
        <w:numPr>
          <w:ilvl w:val="1"/>
          <w:numId w:val="4"/>
        </w:numPr>
        <w:jc w:val="both"/>
      </w:pPr>
      <w:r w:rsidRPr="005751DF">
        <w:t xml:space="preserve">Đặc quyền du lịch phi thương mại </w:t>
      </w:r>
      <w:r>
        <w:t>hoặc máy bay tư (Điều 12)</w:t>
      </w:r>
    </w:p>
    <w:p w14:paraId="14DF17A2" w14:textId="37FA635B" w:rsidR="005751DF" w:rsidRDefault="005751DF" w:rsidP="00972380">
      <w:pPr>
        <w:pStyle w:val="ListParagraph"/>
        <w:numPr>
          <w:ilvl w:val="1"/>
          <w:numId w:val="4"/>
        </w:numPr>
        <w:jc w:val="both"/>
      </w:pPr>
      <w:r>
        <w:t>Thỏa thuận với các thực thể công hoặc tư đang đấu thầu với các cơ quan nhà nước (Điều 13)</w:t>
      </w:r>
    </w:p>
    <w:p w14:paraId="000A38AC" w14:textId="77777777" w:rsidR="003E3B5E" w:rsidRDefault="003E3B5E" w:rsidP="00972380">
      <w:pPr>
        <w:pStyle w:val="ListParagraph"/>
        <w:numPr>
          <w:ilvl w:val="1"/>
          <w:numId w:val="4"/>
        </w:numPr>
        <w:jc w:val="both"/>
      </w:pPr>
      <w:r>
        <w:t>Thỏa thuận với bạn đời, đối tác, con, anh chị em ruột hoặc bố mẹ theo luật chung (Điều 14)</w:t>
      </w:r>
    </w:p>
    <w:p w14:paraId="3E563AFD" w14:textId="77777777" w:rsidR="003E3B5E" w:rsidRDefault="003E3B5E" w:rsidP="00972380">
      <w:pPr>
        <w:pStyle w:val="ListParagraph"/>
        <w:numPr>
          <w:ilvl w:val="1"/>
          <w:numId w:val="4"/>
        </w:numPr>
        <w:jc w:val="both"/>
      </w:pPr>
      <w:r>
        <w:t>Một vài hoạt động liên quan đến tuyển dụng bị nghiêm cấm (Điều 15)</w:t>
      </w:r>
    </w:p>
    <w:p w14:paraId="14F81DBC" w14:textId="7BA13FBA" w:rsidR="00FD7158" w:rsidRPr="004B3EC1" w:rsidRDefault="003E3B5E" w:rsidP="00FD7158">
      <w:pPr>
        <w:pStyle w:val="ListParagraph"/>
        <w:numPr>
          <w:ilvl w:val="1"/>
          <w:numId w:val="4"/>
        </w:numPr>
        <w:jc w:val="both"/>
      </w:pPr>
      <w:r>
        <w:t xml:space="preserve">Việc gây quỹ tạo ra xung đột lợi ích cho công chức (Điều 16). </w:t>
      </w:r>
    </w:p>
    <w:p w14:paraId="1C05DAD6" w14:textId="0D9960D5" w:rsidR="003B0D62" w:rsidRPr="003E3B5E" w:rsidRDefault="003B0D62" w:rsidP="005C0E47">
      <w:pPr>
        <w:pStyle w:val="ListParagraph"/>
        <w:numPr>
          <w:ilvl w:val="0"/>
          <w:numId w:val="1"/>
        </w:numPr>
        <w:jc w:val="both"/>
        <w:rPr>
          <w:b/>
          <w:bCs/>
        </w:rPr>
      </w:pPr>
      <w:r w:rsidRPr="003E3B5E">
        <w:rPr>
          <w:b/>
          <w:bCs/>
        </w:rPr>
        <w:t>Cách thu hồi tài sản ở Canda</w:t>
      </w:r>
    </w:p>
    <w:p w14:paraId="13505B66" w14:textId="3C4551D8" w:rsidR="00FD7158" w:rsidRPr="001805B9" w:rsidRDefault="001805B9" w:rsidP="00E64CD8">
      <w:pPr>
        <w:ind w:firstLine="720"/>
        <w:jc w:val="both"/>
      </w:pPr>
      <w:r w:rsidRPr="001805B9">
        <w:t>Thu hồi tài sản đ</w:t>
      </w:r>
      <w:r>
        <w:t xml:space="preserve">ược định nghĩa là một quy trình pháp lý mà “cơ quan thực thi pháp luật và công tố xác định và theo dấu tài sản, truy tìm tội phạm và người phạm tội và cho phép việc bắt giữ và tịch thu tài sản bất hợp pháp và truy tố thủ </w:t>
      </w:r>
      <w:r>
        <w:lastRenderedPageBreak/>
        <w:t>phạm.”</w:t>
      </w:r>
      <w:r>
        <w:rPr>
          <w:rStyle w:val="FootnoteReference"/>
        </w:rPr>
        <w:footnoteReference w:id="38"/>
      </w:r>
      <w:r w:rsidR="007C6A5C">
        <w:t xml:space="preserve"> Các tác giả Brun J., Gray L., Scott C. &amp; Stephenson K. M. giải thích như sau: “hai cơ chế khác nhau đã được phát triển để kiểm soát và bảo toàn tài sản có thể là đối tượng của sự thu hồi: bắt giữ và kiềm chế</w:t>
      </w:r>
      <w:r w:rsidR="007C1C68">
        <w:t>. Bắt giữ bao gồm sự chiếm hữu vật lý của tài sản đang theo dấu. Các thủ tục kiềm chế là một dạng mệnh lệnh ủy quyền được thẩm phán hoặc tòa án ban hành để hạn chế bất kỳ cá nhân nào trong việc xử lý và phân phối tài sản, chờ việc xác định các thủ tục tịch thu.”</w:t>
      </w:r>
      <w:r w:rsidR="007C1C68">
        <w:rPr>
          <w:rStyle w:val="FootnoteReference"/>
        </w:rPr>
        <w:footnoteReference w:id="39"/>
      </w:r>
    </w:p>
    <w:p w14:paraId="74ADECA8" w14:textId="0CCF1E57" w:rsidR="003B0D62" w:rsidRPr="003E3B5E" w:rsidRDefault="003B0D62" w:rsidP="003B0D62">
      <w:pPr>
        <w:pStyle w:val="ListParagraph"/>
        <w:numPr>
          <w:ilvl w:val="0"/>
          <w:numId w:val="2"/>
        </w:numPr>
        <w:jc w:val="both"/>
        <w:rPr>
          <w:b/>
          <w:bCs/>
        </w:rPr>
      </w:pPr>
      <w:r w:rsidRPr="003E3B5E">
        <w:rPr>
          <w:b/>
          <w:bCs/>
        </w:rPr>
        <w:t>Luật quốc tế</w:t>
      </w:r>
    </w:p>
    <w:p w14:paraId="16BDBB53" w14:textId="64B7D7CF" w:rsidR="00FD7158" w:rsidRPr="00E64CD8" w:rsidRDefault="00E64CD8" w:rsidP="00F023EC">
      <w:pPr>
        <w:ind w:firstLine="720"/>
        <w:jc w:val="both"/>
      </w:pPr>
      <w:r w:rsidRPr="00E64CD8">
        <w:t>Theo luật quốc tế, “t</w:t>
      </w:r>
      <w:r>
        <w:t xml:space="preserve">hu hồi tài sản” </w:t>
      </w:r>
      <w:r w:rsidR="00EB1B5A">
        <w:t>nằm trong Công ước LHQ về phòng chống tham nhũng (UNCAC).</w:t>
      </w:r>
      <w:r w:rsidR="00EB1B5A">
        <w:rPr>
          <w:rStyle w:val="FootnoteReference"/>
        </w:rPr>
        <w:footnoteReference w:id="40"/>
      </w:r>
      <w:r w:rsidR="00EB1B5A">
        <w:t xml:space="preserve"> Văn bản luật cụ thể được hành để nội luật hóa công ước này tại Canada.</w:t>
      </w:r>
      <w:r w:rsidR="00EB1B5A">
        <w:rPr>
          <w:rStyle w:val="FootnoteReference"/>
        </w:rPr>
        <w:footnoteReference w:id="41"/>
      </w:r>
      <w:r w:rsidR="00A20ED7">
        <w:t xml:space="preserve"> “Công ước gồm các quy định độc lập để thiết lập các giải pháp và cơ chế cụ thể đối với việc hợp tác hoàn trả tài sản bất hợp pháp theo UNCAC về bản quốc.”</w:t>
      </w:r>
      <w:r w:rsidR="00A20ED7">
        <w:rPr>
          <w:rStyle w:val="FootnoteReference"/>
        </w:rPr>
        <w:footnoteReference w:id="42"/>
      </w:r>
      <w:r w:rsidR="00A20ED7">
        <w:t xml:space="preserve"> Ví dụ, Điều 53 quy định “biện pháp thu hồi tài sản trực tiếp” như </w:t>
      </w:r>
      <w:r w:rsidR="00F023EC">
        <w:t>thu hồi và hoàn trả tài sản tham nhũng về bản quốc”</w:t>
      </w:r>
      <w:r w:rsidR="00F023EC">
        <w:rPr>
          <w:rStyle w:val="FootnoteReference"/>
        </w:rPr>
        <w:footnoteReference w:id="43"/>
      </w:r>
      <w:r w:rsidR="00F023EC">
        <w:t xml:space="preserve"> trong khi Điều 31 giải quyết việc “đóng băng, bắt giữ và tịch thu” những tài sản như vậy.</w:t>
      </w:r>
    </w:p>
    <w:p w14:paraId="18EB51EB" w14:textId="07C8206B" w:rsidR="003B0D62" w:rsidRPr="003E3B5E" w:rsidRDefault="003B0D62" w:rsidP="003B0D62">
      <w:pPr>
        <w:pStyle w:val="ListParagraph"/>
        <w:numPr>
          <w:ilvl w:val="0"/>
          <w:numId w:val="2"/>
        </w:numPr>
        <w:jc w:val="both"/>
        <w:rPr>
          <w:b/>
          <w:bCs/>
        </w:rPr>
      </w:pPr>
      <w:r w:rsidRPr="003E3B5E">
        <w:rPr>
          <w:b/>
          <w:bCs/>
        </w:rPr>
        <w:t>Luật Canada</w:t>
      </w:r>
    </w:p>
    <w:p w14:paraId="34B03DAC" w14:textId="0B1D3F7B" w:rsidR="00FD7158" w:rsidRPr="00F023EC" w:rsidRDefault="00F023EC" w:rsidP="0052376E">
      <w:pPr>
        <w:ind w:firstLine="720"/>
        <w:jc w:val="both"/>
      </w:pPr>
      <w:r w:rsidRPr="00F023EC">
        <w:t>Ở cấp độ nội địa, t</w:t>
      </w:r>
      <w:r>
        <w:t xml:space="preserve">ác giả Gerry Ferguson khi chứng thực trước Ủy ban Ngoại vụ và Phát triển quốc tế (Standing Committee on Foreign Affairs and </w:t>
      </w:r>
      <w:r>
        <w:lastRenderedPageBreak/>
        <w:t>International Development, trực thuộc Hạ viện)</w:t>
      </w:r>
      <w:r w:rsidR="00F16C44">
        <w:t xml:space="preserve"> đã giải thích rằng: “rửa tiền là mạch máu của tham nhũng. Nó cho phép tham nhũng, phi vụ tham nhũng lớn nở rộ. Đối với tôi, có vẻ như trong 10 thứ thiết yếu để tóm được tham nhũng, </w:t>
      </w:r>
      <w:r w:rsidR="0052376E">
        <w:t>thì chúng ta phải cố gắng làm nghẹt thu nhập cá nhân và lợi ích sinh ra từ phi vụ tham nhũng lớn. Một trong vài cách quan trọng để làm được như vậy là tạo ra luật phòng chống rửa tiền và thu hồi hiệu quả.”</w:t>
      </w:r>
      <w:r w:rsidR="0052376E">
        <w:rPr>
          <w:rStyle w:val="FootnoteReference"/>
        </w:rPr>
        <w:footnoteReference w:id="44"/>
      </w:r>
      <w:r w:rsidR="0052376E">
        <w:t xml:space="preserve"> Do đó, độc giả sẽ không ngạc nhiên khi các chiến lược pháp lý chung áp dụng tại Canada để bắt giữ và thu hồi tài sản trong các vụ án rửa tiền, ví dụ như cũng được áp dụng chung với các vụ án liên quan đến tội phạm tham nhũng, đặc biệt trong bối cảnh mà “tham nhũng thường liên quan đến vài tội danh khác.”</w:t>
      </w:r>
      <w:r w:rsidR="0052376E">
        <w:rPr>
          <w:rStyle w:val="FootnoteReference"/>
        </w:rPr>
        <w:footnoteReference w:id="45"/>
      </w:r>
    </w:p>
    <w:p w14:paraId="14CA6F5C" w14:textId="113BC0EC" w:rsidR="003B0D62" w:rsidRPr="003E3B5E" w:rsidRDefault="00AC70DA" w:rsidP="003B0D62">
      <w:pPr>
        <w:pStyle w:val="ListParagraph"/>
        <w:numPr>
          <w:ilvl w:val="2"/>
          <w:numId w:val="2"/>
        </w:numPr>
        <w:jc w:val="both"/>
        <w:rPr>
          <w:b/>
          <w:bCs/>
        </w:rPr>
      </w:pPr>
      <w:r>
        <w:rPr>
          <w:b/>
          <w:bCs/>
        </w:rPr>
        <w:t>Tài sản</w:t>
      </w:r>
      <w:r w:rsidR="00D07509" w:rsidRPr="003E3B5E">
        <w:rPr>
          <w:b/>
          <w:bCs/>
        </w:rPr>
        <w:t xml:space="preserve"> bất hợp pháp</w:t>
      </w:r>
    </w:p>
    <w:p w14:paraId="30E2F6FE" w14:textId="5B0A039F" w:rsidR="00FD7158" w:rsidRDefault="00A25B7C" w:rsidP="0032132D">
      <w:pPr>
        <w:ind w:firstLine="720"/>
        <w:jc w:val="both"/>
      </w:pPr>
      <w:r>
        <w:t>Định nghĩa về t</w:t>
      </w:r>
      <w:r w:rsidR="00AC70DA">
        <w:t>ài sản</w:t>
      </w:r>
      <w:r>
        <w:t xml:space="preserve"> bất hợp pháp của Bộ luật Hình sự rộng nằm tại Điều 462.3(1) bao gồm bất cứ lợi ích hoặc lợi thế nào đến từ các </w:t>
      </w:r>
      <w:r w:rsidRPr="009A6C2B">
        <w:rPr>
          <w:i/>
          <w:iCs/>
        </w:rPr>
        <w:t>tội danh về bổ nhiệm</w:t>
      </w:r>
      <w:r>
        <w:t xml:space="preserve"> dù trực tiếp hay gián tiếp. </w:t>
      </w:r>
      <w:r w:rsidRPr="00A25B7C">
        <w:t xml:space="preserve">Cụ thể hơn, trong vụ án </w:t>
      </w:r>
      <w:r w:rsidRPr="009A6C2B">
        <w:rPr>
          <w:i/>
          <w:iCs/>
        </w:rPr>
        <w:t>Sellathurai v. Canada</w:t>
      </w:r>
      <w:r w:rsidRPr="00A25B7C">
        <w:t xml:space="preserve"> (Bộ tr</w:t>
      </w:r>
      <w:r>
        <w:t xml:space="preserve">ưởng Bộ </w:t>
      </w:r>
      <w:r w:rsidR="009A6C2B">
        <w:t>an</w:t>
      </w:r>
      <w:r>
        <w:t xml:space="preserve"> toàn công cộng và </w:t>
      </w:r>
      <w:r w:rsidR="009A6C2B">
        <w:t>c</w:t>
      </w:r>
      <w:r>
        <w:t>huẩn bị khẩn cấp</w:t>
      </w:r>
      <w:r w:rsidR="009A6C2B">
        <w:t>):</w:t>
      </w:r>
      <w:r w:rsidR="009A6C2B">
        <w:rPr>
          <w:rStyle w:val="FootnoteReference"/>
        </w:rPr>
        <w:footnoteReference w:id="46"/>
      </w:r>
      <w:r w:rsidR="009A6C2B">
        <w:t xml:space="preserve"> </w:t>
      </w:r>
      <w:r w:rsidR="00AC70DA">
        <w:t xml:space="preserve">Định nghĩa về “tài sản bất hợp pháp” mở rộng hơn mặc dù chưa được hạn chế về phạm vi mà chúng ta xem xét là tài sản đến từ tội phạm. </w:t>
      </w:r>
      <w:r w:rsidR="00891D55">
        <w:t>“</w:t>
      </w:r>
      <w:r w:rsidR="00AC70DA" w:rsidRPr="00891D55">
        <w:rPr>
          <w:i/>
          <w:iCs/>
        </w:rPr>
        <w:t>Tội phạm về bổ nhiệm có thể bị kết tối có thể tạo ra tài sản hợp pháp bao gồm một số tội phạm nghiêm trọng khác theo Bộ luật Hình sự và các Đạo luật liên bang như hối lộ</w:t>
      </w:r>
      <w:r w:rsidR="00AC70DA">
        <w:t>.”</w:t>
      </w:r>
      <w:r w:rsidR="00891D55">
        <w:t xml:space="preserve"> </w:t>
      </w:r>
      <w:r w:rsidR="00AC0A8B">
        <w:t>Việc xác định “cơ sở hợp lý để nghi ngờ về tài sản bị bắt giữ là tài sản b</w:t>
      </w:r>
      <w:r w:rsidR="00F05157">
        <w:t xml:space="preserve">ất hợp pháp của nội hàm trong Bộ luật Hình sự…bằng cách chia bản phân tích thành hai phần…bản phân tích bao gồm </w:t>
      </w:r>
      <w:r w:rsidR="00F05157">
        <w:lastRenderedPageBreak/>
        <w:t xml:space="preserve">việc xem xét </w:t>
      </w:r>
      <w:r w:rsidR="000A6B0C">
        <w:t xml:space="preserve">đâu là sự nghi ngờ hợp lý rằng tài sản bị bắt giữ có liên quan tới tội phạm và tội phạm đó liên quan đến việc bổ nhiệm. Phần thứ hai của cách tiếp cận này khó khăn hơn cả. Chứng cứ liên quan đến tài sản bị bắt giữ và tội phạm nhìn chung </w:t>
      </w:r>
      <w:r w:rsidR="003616B5">
        <w:t>khả thi. Tuy nhiên, chứng cứ để chỉ ra sự liên kết giữa tài sản bị bắt giữ và tội danh về bổ nhiệm thì gần như bất khả thi.”</w:t>
      </w:r>
      <w:r w:rsidR="003616B5">
        <w:rPr>
          <w:rStyle w:val="FootnoteReference"/>
        </w:rPr>
        <w:footnoteReference w:id="47"/>
      </w:r>
      <w:r w:rsidR="003616B5">
        <w:t xml:space="preserve"> Như vậy, Điều </w:t>
      </w:r>
      <w:r w:rsidR="0032132D">
        <w:t>462.39 của Bộ luật Hình sự cho phép tòa án suy luận rằng tài sản được nhận hoặc đến từ tội phạm về bổ nhiệm để kết luận cần phải thu hồi nếu các điều kiện đặc biệt được đáp ứng.</w:t>
      </w:r>
    </w:p>
    <w:p w14:paraId="2A39CCEB" w14:textId="0BC6F794" w:rsidR="0032132D" w:rsidRDefault="0032132D" w:rsidP="00FD7158">
      <w:pPr>
        <w:jc w:val="both"/>
      </w:pPr>
      <w:r>
        <w:tab/>
      </w:r>
      <w:r w:rsidR="00521C5C">
        <w:t>Nếu người phạm tội bị kết tội hối lộ và việc truy tố có thể chứng minh được tiêu chứng chứng cứ (</w:t>
      </w:r>
      <w:r w:rsidR="00521C5C" w:rsidRPr="00E60B89">
        <w:rPr>
          <w:i/>
          <w:iCs/>
        </w:rPr>
        <w:t>balance of probabilities</w:t>
      </w:r>
      <w:r w:rsidR="00521C5C">
        <w:t>) rằng tài sản bất hợp pháp và người phạm tội đã thực hiện hành vi hối lộ (tội danh về bổ nhiệm) liên quan đến tài sản đó, sau đó việc thu hồi tài sản cần phải được tòa án ra quyết định theo Điều 462.37(1) của Bộ luật Hình sự.</w:t>
      </w:r>
    </w:p>
    <w:p w14:paraId="240F311D" w14:textId="2262E565" w:rsidR="00FD7158" w:rsidRPr="00A25B7C" w:rsidRDefault="00521C5C" w:rsidP="00FD7158">
      <w:pPr>
        <w:jc w:val="both"/>
      </w:pPr>
      <w:r>
        <w:tab/>
      </w:r>
      <w:r w:rsidR="00E60B89">
        <w:t>Nhìn hẹp hơn, nếu người phạm tội bị kết tội về bổ nhiệm nhưng tòa án không cảm thấy thuyết phục về việc người phạm tội đã thực hiện hành vi bổ nhiệm liên quan đến tài sản cụ thể. Tòa án phải thận trọng trong việc thu hồi tài sản vì nó cần ph</w:t>
      </w:r>
      <w:r w:rsidR="00192088">
        <w:t>ải</w:t>
      </w:r>
      <w:r w:rsidR="00E60B89">
        <w:t xml:space="preserve"> dựa trên sự nghi ngờ hợp lý (</w:t>
      </w:r>
      <w:r w:rsidR="00E60B89" w:rsidRPr="00E60B89">
        <w:rPr>
          <w:i/>
          <w:iCs/>
        </w:rPr>
        <w:t>beyond a reasonable doubt</w:t>
      </w:r>
      <w:r w:rsidR="00E60B89">
        <w:t>)</w:t>
      </w:r>
      <w:r w:rsidR="0021764A">
        <w:rPr>
          <w:rStyle w:val="FootnoteReference"/>
        </w:rPr>
        <w:footnoteReference w:id="48"/>
      </w:r>
      <w:r w:rsidR="00E60B89">
        <w:t xml:space="preserve"> rằng tài sản dù sao cũng là tài sản bất hợp pháp trong Điều 462.37(2) của Bộ luật Hình sự.</w:t>
      </w:r>
    </w:p>
    <w:p w14:paraId="4AB77C66" w14:textId="75DBF0AF" w:rsidR="00D07509" w:rsidRPr="003E3B5E" w:rsidRDefault="00D07509" w:rsidP="003B0D62">
      <w:pPr>
        <w:pStyle w:val="ListParagraph"/>
        <w:numPr>
          <w:ilvl w:val="2"/>
          <w:numId w:val="2"/>
        </w:numPr>
        <w:jc w:val="both"/>
        <w:rPr>
          <w:b/>
          <w:bCs/>
        </w:rPr>
      </w:pPr>
      <w:r w:rsidRPr="003E3B5E">
        <w:rPr>
          <w:b/>
          <w:bCs/>
        </w:rPr>
        <w:t>Biện pháp tạm thời</w:t>
      </w:r>
    </w:p>
    <w:p w14:paraId="67954002" w14:textId="78D9F18C" w:rsidR="00FD7158" w:rsidRPr="00984AE4" w:rsidRDefault="00984AE4" w:rsidP="005B444C">
      <w:pPr>
        <w:ind w:firstLine="720"/>
        <w:jc w:val="both"/>
      </w:pPr>
      <w:r w:rsidRPr="00984AE4">
        <w:lastRenderedPageBreak/>
        <w:t>Đối với biện pháp t</w:t>
      </w:r>
      <w:r>
        <w:t>ạm thời như các biện pháp được t</w:t>
      </w:r>
      <w:r w:rsidR="0021764A">
        <w:t>h</w:t>
      </w:r>
      <w:r>
        <w:t xml:space="preserve">i hành trước khi </w:t>
      </w:r>
      <w:r w:rsidRPr="0021764A">
        <w:rPr>
          <w:i/>
          <w:iCs/>
        </w:rPr>
        <w:t>vụ án được quyết định dựa trên bản chất</w:t>
      </w:r>
      <w:r>
        <w:t>, Điều 462.32 của Bộ luật Hình sự cho phép thẩm phán có thẩm quyền tìm kiếm, bắt giữ và kiềm chế tài sản nếu thẩm phán thỏa mãn</w:t>
      </w:r>
      <w:r w:rsidR="00C677FB">
        <w:t xml:space="preserve"> về những cơ sở hợp lý kể kết luận tài sản có thể là đối tượng của quy trình thu hồi tài sản. Ngoài ra, Điều 462.33 của Bộ luật Hình sự cho phép thẩm phán đưa ra sự kiềm chế </w:t>
      </w:r>
      <w:r w:rsidR="00AB1F60">
        <w:t>bất cứ cá nhân nào trong việc phân phối hoặc xử lý tài sản ngoại trừ được phép theo luật định.</w:t>
      </w:r>
      <w:r w:rsidR="00AB1F60">
        <w:rPr>
          <w:rStyle w:val="FootnoteReference"/>
        </w:rPr>
        <w:footnoteReference w:id="49"/>
      </w:r>
      <w:r w:rsidR="00AB1F60">
        <w:t xml:space="preserve"> Các biện pháp tạm thời hiển nhiên được thực thi để </w:t>
      </w:r>
      <w:r w:rsidR="00BC3C86">
        <w:t>ngăn chặn việc bằng chứng có thể bị bị can tiêu hủy.</w:t>
      </w:r>
      <w:r w:rsidR="00966D39">
        <w:t xml:space="preserve"> Trong bất cứ sự kiện nào, điều này đều đúng và có giá trị khi biết rằng “chỉ có tài sản được chuyển nhượng cho bên thứ ba không được loại trừ khỏi các thủ tục thu hổi.”</w:t>
      </w:r>
      <w:r w:rsidR="00966D39">
        <w:rPr>
          <w:rStyle w:val="FootnoteReference"/>
        </w:rPr>
        <w:footnoteReference w:id="50"/>
      </w:r>
    </w:p>
    <w:p w14:paraId="66A6ADD0" w14:textId="63C58A88" w:rsidR="00D07509" w:rsidRPr="003E3B5E" w:rsidRDefault="00D07509" w:rsidP="003B0D62">
      <w:pPr>
        <w:pStyle w:val="ListParagraph"/>
        <w:numPr>
          <w:ilvl w:val="2"/>
          <w:numId w:val="2"/>
        </w:numPr>
        <w:jc w:val="both"/>
        <w:rPr>
          <w:b/>
          <w:bCs/>
        </w:rPr>
      </w:pPr>
      <w:r w:rsidRPr="003E3B5E">
        <w:rPr>
          <w:b/>
          <w:bCs/>
        </w:rPr>
        <w:t>Tài sản phạm tội</w:t>
      </w:r>
    </w:p>
    <w:p w14:paraId="0B73EC3E" w14:textId="1C21353C" w:rsidR="00FD7158" w:rsidRDefault="00071A67" w:rsidP="004C5EC7">
      <w:pPr>
        <w:ind w:firstLine="720"/>
        <w:jc w:val="both"/>
      </w:pPr>
      <w:r>
        <w:t xml:space="preserve">Tác giả Hubbard, Murphy và O’Donnell và DeFreitas viết: “Giống như các bản đối chiếu trong Điều 462.37(1) của Bộ luật HÌnh sự cho phép việc thu hồi tài sản bất hợp pháp </w:t>
      </w:r>
      <w:r w:rsidRPr="0021764A">
        <w:rPr>
          <w:i/>
          <w:iCs/>
        </w:rPr>
        <w:t>sau</w:t>
      </w:r>
      <w:r w:rsidR="0021764A">
        <w:rPr>
          <w:i/>
          <w:iCs/>
        </w:rPr>
        <w:t xml:space="preserve"> khi</w:t>
      </w:r>
      <w:r w:rsidRPr="0021764A">
        <w:rPr>
          <w:i/>
          <w:iCs/>
        </w:rPr>
        <w:t xml:space="preserve"> kết tội</w:t>
      </w:r>
      <w:r>
        <w:t xml:space="preserve">, </w:t>
      </w:r>
      <w:r w:rsidR="0021764A">
        <w:t>Điều 490.1 cho phép thu hồi tài sản liên quan đến tội phạm mà được kết tội</w:t>
      </w:r>
      <w:r w:rsidR="00192088">
        <w:t xml:space="preserve"> dựa trên sự nghi ngờ hợp lý</w:t>
      </w:r>
      <w:r w:rsidR="0021764A">
        <w:t>”</w:t>
      </w:r>
      <w:r w:rsidR="0021764A">
        <w:rPr>
          <w:rStyle w:val="FootnoteReference"/>
        </w:rPr>
        <w:footnoteReference w:id="51"/>
      </w:r>
      <w:r w:rsidR="0021764A">
        <w:t xml:space="preserve"> Tòa án Phúc thẩm Ontario đưa ra phán quyết trong vụ án </w:t>
      </w:r>
      <w:r w:rsidR="0021764A" w:rsidRPr="00192088">
        <w:rPr>
          <w:i/>
          <w:iCs/>
        </w:rPr>
        <w:t>R. v. Trac</w:t>
      </w:r>
      <w:r w:rsidR="0021764A">
        <w:t xml:space="preserve">, “tài sản liên quan đến tội phạm” có </w:t>
      </w:r>
      <w:r w:rsidR="006D2CB9">
        <w:t xml:space="preserve">nội hàm rộng hơn, có thể khác với “tài sản bất hợp pháp”. Tài sản bất hợp pháp được định nghĩa tại Điều 462.3(1) để chỉ tài sản “nhận được hoặc suy ra trực tiếp hoặc gián tiếp” đến từ tội phạm về bổ nhiệm. “Tài sản liên quan đến tội phạm” bap hàm tài sản được sử dụng liên quan đến tội phạm về bổ nhiệm. </w:t>
      </w:r>
      <w:r w:rsidR="006D2CB9">
        <w:lastRenderedPageBreak/>
        <w:t xml:space="preserve">Điều luật hướng đến </w:t>
      </w:r>
      <w:r w:rsidR="006D2CB9" w:rsidRPr="006D2CB9">
        <w:rPr>
          <w:i/>
          <w:iCs/>
        </w:rPr>
        <w:t xml:space="preserve">các phương thức, phương sách và công cụ </w:t>
      </w:r>
      <w:r w:rsidR="006D2CB9">
        <w:t>để thực hiện tội phạm.”</w:t>
      </w:r>
      <w:r w:rsidR="006D2CB9">
        <w:rPr>
          <w:rStyle w:val="FootnoteReference"/>
        </w:rPr>
        <w:footnoteReference w:id="52"/>
      </w:r>
    </w:p>
    <w:p w14:paraId="49434719" w14:textId="4104126B" w:rsidR="00D07509" w:rsidRDefault="00D07509" w:rsidP="00D07509">
      <w:pPr>
        <w:jc w:val="both"/>
        <w:rPr>
          <w:b/>
          <w:bCs/>
        </w:rPr>
      </w:pPr>
      <w:r w:rsidRPr="003E3B5E">
        <w:rPr>
          <w:b/>
          <w:bCs/>
        </w:rPr>
        <w:t>Kết luận</w:t>
      </w:r>
    </w:p>
    <w:p w14:paraId="727BBF10" w14:textId="7CBC1E47" w:rsidR="00FD7158" w:rsidRDefault="004C5EC7" w:rsidP="00D07509">
      <w:pPr>
        <w:jc w:val="both"/>
      </w:pPr>
      <w:r>
        <w:rPr>
          <w:b/>
          <w:bCs/>
        </w:rPr>
        <w:tab/>
      </w:r>
      <w:r>
        <w:t>Tham nhũng dù ở bất kỳ hình thức nào, nhỏ hay lớn, đều là một vấn đề nghiêm trọng mà bất cứ quốc gia nào cũng phải quan tâm. Canada cũng không phải là một ngoại lệ. Tuy nhiên, các công cụ pháp lý được thực thi để chống lại tham nhũng và để đảm bảo không vì lợi ích của những cá nhân tham gia cũng như các nỗ lực đều đặn của các cơ quan thực thi pháp luật và công tố để giúp công dân tin vào một tương lai tươi sáng hơn. Như một câu thành ngữ Việt Nam Cái khó ló cái khôn</w:t>
      </w:r>
      <w:r w:rsidR="00727431">
        <w:t>. Do đó, nghịch cảnh do tham nhũng gây ra khiến con người khôn ngoan hơn và hỗ trợ việc thực thi cũng như dần dần phát triển các giải pháp cách tân, tương thích với các quy định sẵn có để giải quyết vấn nạn này.</w:t>
      </w:r>
    </w:p>
    <w:p w14:paraId="4A856B91" w14:textId="50757802" w:rsidR="00D07509" w:rsidRPr="00996F13" w:rsidRDefault="00D07509" w:rsidP="00D07509">
      <w:pPr>
        <w:jc w:val="both"/>
        <w:rPr>
          <w:b/>
          <w:bCs/>
        </w:rPr>
      </w:pPr>
      <w:r w:rsidRPr="00996F13">
        <w:rPr>
          <w:b/>
          <w:bCs/>
        </w:rPr>
        <w:t>Tài liệu tham khảo</w:t>
      </w:r>
    </w:p>
    <w:p w14:paraId="1A708F36" w14:textId="6F8A27C7" w:rsidR="003B0D62" w:rsidRPr="00464B7A" w:rsidRDefault="00996F13" w:rsidP="00996F13">
      <w:pPr>
        <w:jc w:val="both"/>
        <w:rPr>
          <w:b/>
          <w:bCs/>
        </w:rPr>
      </w:pPr>
      <w:r w:rsidRPr="00464B7A">
        <w:rPr>
          <w:b/>
          <w:bCs/>
        </w:rPr>
        <w:t>Sách</w:t>
      </w:r>
    </w:p>
    <w:p w14:paraId="7FB092A6" w14:textId="77777777" w:rsidR="00996F13" w:rsidRPr="00F752EB" w:rsidRDefault="00996F13" w:rsidP="00996F13">
      <w:pPr>
        <w:spacing w:before="120" w:after="120"/>
        <w:ind w:left="720" w:hanging="720"/>
        <w:jc w:val="both"/>
        <w:rPr>
          <w:rFonts w:asciiTheme="majorBidi" w:hAnsiTheme="majorBidi" w:cstheme="majorBidi"/>
          <w:color w:val="000000" w:themeColor="text1"/>
        </w:rPr>
      </w:pPr>
      <w:r w:rsidRPr="00F752EB">
        <w:rPr>
          <w:rFonts w:asciiTheme="majorBidi" w:hAnsiTheme="majorBidi" w:cstheme="majorBidi"/>
          <w:color w:val="000000" w:themeColor="text1"/>
        </w:rPr>
        <w:t>[1]</w:t>
      </w:r>
      <w:r w:rsidRPr="00F752EB">
        <w:rPr>
          <w:rFonts w:asciiTheme="majorBidi" w:hAnsiTheme="majorBidi" w:cstheme="majorBidi"/>
          <w:color w:val="000000" w:themeColor="text1"/>
        </w:rPr>
        <w:tab/>
      </w:r>
      <w:r w:rsidRPr="00C033BC">
        <w:rPr>
          <w:rFonts w:asciiTheme="majorBidi" w:hAnsiTheme="majorBidi" w:cstheme="majorBidi"/>
          <w:color w:val="000000" w:themeColor="text1"/>
          <w:lang w:val="en-CA"/>
        </w:rPr>
        <w:t xml:space="preserve">Adam I. &amp; Fazekas M. (2018), </w:t>
      </w:r>
      <w:r w:rsidRPr="00C033BC">
        <w:rPr>
          <w:rFonts w:asciiTheme="majorBidi" w:hAnsiTheme="majorBidi" w:cstheme="majorBidi"/>
          <w:i/>
          <w:iCs/>
          <w:color w:val="000000" w:themeColor="text1"/>
          <w:lang w:val="en-CA"/>
        </w:rPr>
        <w:t xml:space="preserve">Are emerging technologies helping win the fight against corruption in developing countries? </w:t>
      </w:r>
      <w:r w:rsidRPr="00C033BC">
        <w:rPr>
          <w:rFonts w:asciiTheme="majorBidi" w:hAnsiTheme="majorBidi" w:cstheme="majorBidi"/>
          <w:color w:val="000000" w:themeColor="text1"/>
          <w:lang w:val="en-CA"/>
        </w:rPr>
        <w:t>Pathways for Prosperity Commission Background Paper Series; no. 21, Oxford, United Kingdom.</w:t>
      </w:r>
    </w:p>
    <w:p w14:paraId="33F6ED5B" w14:textId="77777777" w:rsidR="00996F13" w:rsidRPr="00F752EB" w:rsidRDefault="00996F13" w:rsidP="00996F13">
      <w:pPr>
        <w:spacing w:before="120" w:after="120"/>
        <w:ind w:left="720" w:hanging="720"/>
        <w:jc w:val="both"/>
        <w:rPr>
          <w:rFonts w:asciiTheme="majorBidi" w:hAnsiTheme="majorBidi" w:cstheme="majorBidi"/>
          <w:color w:val="000000" w:themeColor="text1"/>
        </w:rPr>
      </w:pPr>
      <w:r w:rsidRPr="00F752EB">
        <w:rPr>
          <w:rFonts w:asciiTheme="majorBidi" w:hAnsiTheme="majorBidi" w:cstheme="majorBidi"/>
          <w:color w:val="000000" w:themeColor="text1"/>
        </w:rPr>
        <w:t xml:space="preserve">[2] </w:t>
      </w:r>
      <w:r w:rsidRPr="00F752EB">
        <w:rPr>
          <w:rFonts w:asciiTheme="majorBidi" w:hAnsiTheme="majorBidi" w:cstheme="majorBidi"/>
          <w:color w:val="000000" w:themeColor="text1"/>
        </w:rPr>
        <w:tab/>
      </w:r>
      <w:r w:rsidRPr="0085240F">
        <w:t>Basel Institute on Governance, International Centre for Asset Recovery, Development Assistance, Asset Recovery and Money Laundering; Making the Connection 6 (2011)</w:t>
      </w:r>
      <w:r>
        <w:t>.</w:t>
      </w:r>
    </w:p>
    <w:p w14:paraId="22FC8A10" w14:textId="77777777" w:rsidR="00996F13" w:rsidRPr="00996F13" w:rsidRDefault="00996F13" w:rsidP="00996F13">
      <w:pPr>
        <w:spacing w:before="120" w:after="120"/>
        <w:ind w:left="720" w:hanging="720"/>
        <w:jc w:val="both"/>
        <w:rPr>
          <w:rFonts w:asciiTheme="majorBidi" w:hAnsiTheme="majorBidi" w:cstheme="majorBidi"/>
          <w:b/>
          <w:color w:val="000000" w:themeColor="text1"/>
          <w:lang w:val="fr-FR"/>
        </w:rPr>
      </w:pPr>
      <w:r w:rsidRPr="00996F13">
        <w:rPr>
          <w:rFonts w:asciiTheme="majorBidi" w:hAnsiTheme="majorBidi" w:cstheme="majorBidi"/>
          <w:color w:val="000000" w:themeColor="text1"/>
          <w:lang w:val="fr-FR"/>
        </w:rPr>
        <w:lastRenderedPageBreak/>
        <w:t xml:space="preserve">[3] </w:t>
      </w:r>
      <w:r w:rsidRPr="00996F13">
        <w:rPr>
          <w:rFonts w:asciiTheme="majorBidi" w:hAnsiTheme="majorBidi" w:cstheme="majorBidi"/>
          <w:color w:val="000000" w:themeColor="text1"/>
          <w:lang w:val="fr-FR"/>
        </w:rPr>
        <w:tab/>
      </w:r>
      <w:r w:rsidRPr="00996F13">
        <w:rPr>
          <w:rFonts w:asciiTheme="majorBidi" w:hAnsiTheme="majorBidi" w:cstheme="majorBidi"/>
          <w:color w:val="000000" w:themeColor="text1"/>
          <w:spacing w:val="-3"/>
          <w:shd w:val="clear" w:color="auto" w:fill="FFFFFF"/>
          <w:lang w:val="fr-FR"/>
        </w:rPr>
        <w:t xml:space="preserve">Collins Hoffman, P.-C., </w:t>
      </w:r>
      <w:r w:rsidRPr="00996F13">
        <w:rPr>
          <w:rFonts w:asciiTheme="majorBidi" w:hAnsiTheme="majorBidi" w:cstheme="majorBidi"/>
          <w:i/>
          <w:iCs/>
          <w:color w:val="000000" w:themeColor="text1"/>
          <w:spacing w:val="-3"/>
          <w:shd w:val="clear" w:color="auto" w:fill="FFFFFF"/>
          <w:lang w:val="fr-FR"/>
        </w:rPr>
        <w:t xml:space="preserve">L’intervention du législateur en matière de responsabilité criminelle des organisations au Canada: analyse de la portée, des lacunes et des incidences du régime codifié </w:t>
      </w:r>
      <w:r w:rsidRPr="00996F13">
        <w:rPr>
          <w:rFonts w:asciiTheme="majorBidi" w:hAnsiTheme="majorBidi" w:cstheme="majorBidi"/>
          <w:color w:val="000000" w:themeColor="text1"/>
          <w:spacing w:val="-3"/>
          <w:shd w:val="clear" w:color="auto" w:fill="FFFFFF"/>
          <w:lang w:val="fr-FR"/>
        </w:rPr>
        <w:t>[Legislative Intervention in Corporate Criminal Liability in Canada: Analysis of the Scope, Gaps and Implications of the Codified Regime], LL.M. Thesis, University of Montreal, 2017.</w:t>
      </w:r>
    </w:p>
    <w:p w14:paraId="4D493EA9" w14:textId="77777777" w:rsidR="00996F13" w:rsidRPr="00671EDA" w:rsidRDefault="00996F13" w:rsidP="00996F13">
      <w:pPr>
        <w:spacing w:before="120" w:after="120"/>
        <w:ind w:left="720" w:hanging="720"/>
        <w:jc w:val="both"/>
        <w:rPr>
          <w:rFonts w:asciiTheme="majorBidi" w:eastAsia="SimSun" w:hAnsiTheme="majorBidi" w:cstheme="majorBidi"/>
          <w:color w:val="000000" w:themeColor="text1"/>
        </w:rPr>
      </w:pPr>
      <w:r w:rsidRPr="00671EDA">
        <w:rPr>
          <w:rFonts w:asciiTheme="majorBidi" w:hAnsiTheme="majorBidi" w:cstheme="majorBidi"/>
          <w:color w:val="000000" w:themeColor="text1"/>
        </w:rPr>
        <w:t xml:space="preserve">[4] </w:t>
      </w:r>
      <w:r w:rsidRPr="00671EDA">
        <w:rPr>
          <w:rFonts w:asciiTheme="majorBidi" w:hAnsiTheme="majorBidi" w:cstheme="majorBidi"/>
          <w:color w:val="000000" w:themeColor="text1"/>
        </w:rPr>
        <w:tab/>
      </w:r>
      <w:r w:rsidRPr="00671EDA">
        <w:rPr>
          <w:rFonts w:asciiTheme="majorBidi" w:eastAsia="SimSun" w:hAnsiTheme="majorBidi" w:cstheme="majorBidi"/>
          <w:color w:val="000000" w:themeColor="text1"/>
        </w:rPr>
        <w:t xml:space="preserve">Dion, M. (2018), </w:t>
      </w:r>
      <w:r w:rsidRPr="00671EDA">
        <w:rPr>
          <w:rFonts w:asciiTheme="majorBidi" w:hAnsiTheme="majorBidi" w:cstheme="majorBidi"/>
          <w:color w:val="000000" w:themeColor="text1"/>
          <w:shd w:val="clear" w:color="auto" w:fill="FFFFFF"/>
        </w:rPr>
        <w:t>Conflict of Interest and Ethics Commissioner</w:t>
      </w:r>
      <w:r w:rsidRPr="00671EDA">
        <w:rPr>
          <w:rFonts w:asciiTheme="majorBidi" w:eastAsia="SimSun" w:hAnsiTheme="majorBidi" w:cstheme="majorBidi"/>
          <w:color w:val="000000" w:themeColor="text1"/>
        </w:rPr>
        <w:t xml:space="preserve">, </w:t>
      </w:r>
      <w:r w:rsidRPr="00671EDA">
        <w:rPr>
          <w:rFonts w:asciiTheme="majorBidi" w:eastAsia="SimSun" w:hAnsiTheme="majorBidi" w:cstheme="majorBidi"/>
          <w:i/>
          <w:iCs/>
          <w:color w:val="000000" w:themeColor="text1"/>
        </w:rPr>
        <w:t>L’évolution de l’approche fédérale en matière d’éthique: événements déterminants, bilan et perspectives</w:t>
      </w:r>
      <w:r w:rsidRPr="00671EDA">
        <w:rPr>
          <w:rFonts w:asciiTheme="majorBidi" w:eastAsia="SimSun" w:hAnsiTheme="majorBidi" w:cstheme="majorBidi"/>
          <w:color w:val="000000" w:themeColor="text1"/>
        </w:rPr>
        <w:t xml:space="preserve"> [The evolution of the federal approach to ethics, decisive events, results and perspectives], McLaughlin College, York University, Toronto, Ontario, Canada.</w:t>
      </w:r>
    </w:p>
    <w:p w14:paraId="0DF5B1BD" w14:textId="77777777" w:rsidR="00996F13" w:rsidRPr="00F752EB" w:rsidRDefault="00996F13" w:rsidP="00996F13">
      <w:pPr>
        <w:spacing w:before="120" w:after="120"/>
        <w:ind w:left="720" w:hanging="720"/>
        <w:jc w:val="both"/>
        <w:rPr>
          <w:rFonts w:asciiTheme="majorBidi" w:hAnsiTheme="majorBidi" w:cstheme="majorBidi"/>
          <w:color w:val="000000" w:themeColor="text1"/>
          <w:lang w:val="en-CA"/>
        </w:rPr>
      </w:pPr>
      <w:r w:rsidRPr="00F752EB">
        <w:rPr>
          <w:rFonts w:asciiTheme="majorBidi" w:hAnsiTheme="majorBidi" w:cstheme="majorBidi"/>
          <w:color w:val="000000" w:themeColor="text1"/>
        </w:rPr>
        <w:t xml:space="preserve">[5] </w:t>
      </w:r>
      <w:r w:rsidRPr="00F752EB">
        <w:rPr>
          <w:rFonts w:asciiTheme="majorBidi" w:hAnsiTheme="majorBidi" w:cstheme="majorBidi"/>
          <w:color w:val="000000" w:themeColor="text1"/>
        </w:rPr>
        <w:tab/>
      </w:r>
      <w:r w:rsidRPr="00C033BC">
        <w:rPr>
          <w:rFonts w:asciiTheme="majorBidi" w:hAnsiTheme="majorBidi" w:cstheme="majorBidi"/>
          <w:color w:val="000000" w:themeColor="text1"/>
          <w:lang w:val="en-CA"/>
        </w:rPr>
        <w:t xml:space="preserve">Dobovsek B. (2009), </w:t>
      </w:r>
      <w:r w:rsidRPr="00C033BC">
        <w:rPr>
          <w:rFonts w:asciiTheme="majorBidi" w:hAnsiTheme="majorBidi" w:cstheme="majorBidi"/>
          <w:i/>
          <w:color w:val="000000" w:themeColor="text1"/>
          <w:lang w:val="en-CA"/>
        </w:rPr>
        <w:t>Prevention of Corruption</w:t>
      </w:r>
      <w:r w:rsidRPr="00C033BC">
        <w:rPr>
          <w:rFonts w:asciiTheme="majorBidi" w:hAnsiTheme="majorBidi" w:cstheme="majorBidi"/>
          <w:color w:val="000000" w:themeColor="text1"/>
          <w:lang w:val="en-CA"/>
        </w:rPr>
        <w:t>, The Human Resources Management Authority, Government of Montenegro, Podgorica, Montenegro.</w:t>
      </w:r>
    </w:p>
    <w:p w14:paraId="25B0590F" w14:textId="77777777" w:rsidR="00996F13" w:rsidRPr="00F752EB" w:rsidRDefault="00996F13" w:rsidP="00996F13">
      <w:pPr>
        <w:spacing w:before="120" w:after="120"/>
        <w:ind w:left="720" w:hanging="720"/>
        <w:jc w:val="both"/>
        <w:rPr>
          <w:rFonts w:asciiTheme="majorBidi" w:hAnsiTheme="majorBidi" w:cstheme="majorBidi"/>
          <w:color w:val="000000" w:themeColor="text1"/>
        </w:rPr>
      </w:pPr>
      <w:r w:rsidRPr="00F752EB">
        <w:rPr>
          <w:rFonts w:asciiTheme="majorBidi" w:hAnsiTheme="majorBidi" w:cstheme="majorBidi"/>
          <w:color w:val="000000" w:themeColor="text1"/>
        </w:rPr>
        <w:t>[6]</w:t>
      </w:r>
      <w:r w:rsidRPr="00F752EB">
        <w:rPr>
          <w:rFonts w:asciiTheme="majorBidi" w:hAnsiTheme="majorBidi" w:cstheme="majorBidi"/>
          <w:color w:val="000000" w:themeColor="text1"/>
        </w:rPr>
        <w:tab/>
      </w:r>
      <w:r w:rsidRPr="00A66507">
        <w:rPr>
          <w:rFonts w:asciiTheme="majorBidi" w:hAnsiTheme="majorBidi" w:cstheme="majorBidi"/>
          <w:color w:val="000000" w:themeColor="text1"/>
        </w:rPr>
        <w:t xml:space="preserve">Gaon A. &amp; Stedman I. (2019), ‘A Call to Action: Moving Forward with the Governance of Artificial Intelligence in Canada’, </w:t>
      </w:r>
      <w:r w:rsidRPr="00A66507">
        <w:rPr>
          <w:rFonts w:asciiTheme="majorBidi" w:hAnsiTheme="majorBidi" w:cstheme="majorBidi"/>
          <w:i/>
          <w:iCs/>
          <w:color w:val="000000" w:themeColor="text1"/>
        </w:rPr>
        <w:t>Alberta Law Review</w:t>
      </w:r>
      <w:r>
        <w:rPr>
          <w:rFonts w:asciiTheme="majorBidi" w:hAnsiTheme="majorBidi" w:cstheme="majorBidi"/>
          <w:color w:val="000000" w:themeColor="text1"/>
        </w:rPr>
        <w:t>,</w:t>
      </w:r>
      <w:r w:rsidRPr="00A66507">
        <w:rPr>
          <w:rFonts w:asciiTheme="majorBidi" w:hAnsiTheme="majorBidi" w:cstheme="majorBidi"/>
          <w:color w:val="000000" w:themeColor="text1"/>
        </w:rPr>
        <w:t xml:space="preserve"> </w:t>
      </w:r>
      <w:r w:rsidRPr="00A66507">
        <w:rPr>
          <w:rFonts w:asciiTheme="majorBidi" w:hAnsiTheme="majorBidi" w:cstheme="majorBidi"/>
          <w:iCs/>
          <w:color w:val="000000" w:themeColor="text1"/>
        </w:rPr>
        <w:t>56</w:t>
      </w:r>
      <w:r w:rsidRPr="00A66507">
        <w:rPr>
          <w:rFonts w:asciiTheme="majorBidi" w:hAnsiTheme="majorBidi" w:cstheme="majorBidi"/>
          <w:color w:val="000000" w:themeColor="text1"/>
        </w:rPr>
        <w:t>(4)</w:t>
      </w:r>
    </w:p>
    <w:p w14:paraId="79554D2B" w14:textId="77777777" w:rsidR="00996F13" w:rsidRPr="00F752EB" w:rsidRDefault="00996F13" w:rsidP="00996F13">
      <w:pPr>
        <w:spacing w:before="120" w:after="120"/>
        <w:ind w:left="720" w:hanging="720"/>
        <w:jc w:val="both"/>
        <w:rPr>
          <w:rFonts w:asciiTheme="majorBidi" w:hAnsiTheme="majorBidi" w:cstheme="majorBidi"/>
          <w:color w:val="000000" w:themeColor="text1"/>
        </w:rPr>
      </w:pPr>
      <w:r w:rsidRPr="00F752EB">
        <w:rPr>
          <w:rFonts w:asciiTheme="majorBidi" w:hAnsiTheme="majorBidi" w:cstheme="majorBidi"/>
          <w:color w:val="000000" w:themeColor="text1"/>
        </w:rPr>
        <w:t xml:space="preserve">[7] </w:t>
      </w:r>
      <w:r w:rsidRPr="00F752EB">
        <w:rPr>
          <w:rFonts w:asciiTheme="majorBidi" w:hAnsiTheme="majorBidi" w:cstheme="majorBidi"/>
          <w:color w:val="000000" w:themeColor="text1"/>
        </w:rPr>
        <w:tab/>
      </w:r>
      <w:r w:rsidRPr="00C033BC">
        <w:rPr>
          <w:rFonts w:asciiTheme="majorBidi" w:hAnsiTheme="majorBidi" w:cstheme="majorBidi"/>
          <w:color w:val="000000" w:themeColor="text1"/>
        </w:rPr>
        <w:t xml:space="preserve">Gibbons K. M., ‘The Study of Political Corruption’ in Kenneth M. Gibbons &amp; Donald Rowat (eds), </w:t>
      </w:r>
      <w:r w:rsidRPr="00C033BC">
        <w:rPr>
          <w:rFonts w:asciiTheme="majorBidi" w:hAnsiTheme="majorBidi" w:cstheme="majorBidi"/>
          <w:i/>
          <w:iCs/>
          <w:color w:val="000000" w:themeColor="text1"/>
        </w:rPr>
        <w:t>Political Corruption in Canada: Cases, Causes and Cures</w:t>
      </w:r>
      <w:r w:rsidRPr="00C033BC">
        <w:rPr>
          <w:rFonts w:asciiTheme="majorBidi" w:hAnsiTheme="majorBidi" w:cstheme="majorBidi"/>
          <w:color w:val="000000" w:themeColor="text1"/>
        </w:rPr>
        <w:t>, Toronto: McClelland &amp; Stewart, 1976.</w:t>
      </w:r>
    </w:p>
    <w:p w14:paraId="587E57B7" w14:textId="77777777" w:rsidR="00996F13" w:rsidRPr="00F752EB" w:rsidRDefault="00996F13" w:rsidP="00996F13">
      <w:pPr>
        <w:spacing w:before="120" w:after="120"/>
        <w:ind w:left="720" w:hanging="720"/>
        <w:jc w:val="both"/>
        <w:rPr>
          <w:rFonts w:asciiTheme="majorBidi" w:hAnsiTheme="majorBidi" w:cstheme="majorBidi"/>
          <w:b/>
          <w:color w:val="000000" w:themeColor="text1"/>
        </w:rPr>
      </w:pPr>
      <w:r w:rsidRPr="00F752EB">
        <w:rPr>
          <w:rFonts w:asciiTheme="majorBidi" w:hAnsiTheme="majorBidi" w:cstheme="majorBidi"/>
          <w:color w:val="000000" w:themeColor="text1"/>
        </w:rPr>
        <w:t xml:space="preserve">[8] </w:t>
      </w:r>
      <w:r w:rsidRPr="00F752EB">
        <w:rPr>
          <w:rFonts w:asciiTheme="majorBidi" w:hAnsiTheme="majorBidi" w:cstheme="majorBidi"/>
          <w:color w:val="000000" w:themeColor="text1"/>
        </w:rPr>
        <w:tab/>
      </w:r>
      <w:r w:rsidRPr="00C033BC">
        <w:t xml:space="preserve">Harrington J. (2018), </w:t>
      </w:r>
      <w:r w:rsidRPr="00C033BC">
        <w:rPr>
          <w:i/>
          <w:iCs/>
        </w:rPr>
        <w:t>Addressing the Corruption of Foreign Public Officials: Developments and Challenges within the Canadian Legal Lands</w:t>
      </w:r>
      <w:r w:rsidRPr="00C033BC">
        <w:t>, The Canadian Yearbook of International Law, 56</w:t>
      </w:r>
      <w:r>
        <w:t>.</w:t>
      </w:r>
    </w:p>
    <w:p w14:paraId="01F7F34E" w14:textId="77777777" w:rsidR="00996F13" w:rsidRPr="00F752EB" w:rsidRDefault="00996F13" w:rsidP="00996F13">
      <w:pPr>
        <w:spacing w:before="120" w:after="120"/>
        <w:ind w:left="720" w:hanging="720"/>
        <w:jc w:val="both"/>
        <w:rPr>
          <w:rFonts w:asciiTheme="majorBidi" w:hAnsiTheme="majorBidi" w:cstheme="majorBidi"/>
          <w:color w:val="000000" w:themeColor="text1"/>
        </w:rPr>
      </w:pPr>
      <w:r w:rsidRPr="00F752EB">
        <w:rPr>
          <w:rFonts w:asciiTheme="majorBidi" w:hAnsiTheme="majorBidi" w:cstheme="majorBidi"/>
          <w:color w:val="000000" w:themeColor="text1"/>
        </w:rPr>
        <w:lastRenderedPageBreak/>
        <w:t xml:space="preserve">[9] </w:t>
      </w:r>
      <w:r w:rsidRPr="00F752EB">
        <w:rPr>
          <w:rFonts w:asciiTheme="majorBidi" w:hAnsiTheme="majorBidi" w:cstheme="majorBidi"/>
          <w:color w:val="000000" w:themeColor="text1"/>
        </w:rPr>
        <w:tab/>
      </w:r>
      <w:r w:rsidRPr="00A66507">
        <w:t xml:space="preserve">Hubbard R., Murphy D., O’Donnell F. &amp; DeFreitas P. (2004), </w:t>
      </w:r>
      <w:r w:rsidRPr="00A66507">
        <w:rPr>
          <w:i/>
          <w:iCs/>
        </w:rPr>
        <w:t>Money Laundering &amp; Proceeds of crime</w:t>
      </w:r>
      <w:r w:rsidRPr="00A66507">
        <w:t>, Irwin Law Inc.</w:t>
      </w:r>
    </w:p>
    <w:p w14:paraId="203DB96D" w14:textId="77777777" w:rsidR="00996F13" w:rsidRPr="00F752EB" w:rsidRDefault="00996F13" w:rsidP="00996F13">
      <w:pPr>
        <w:spacing w:before="120" w:after="120"/>
        <w:ind w:left="720" w:hanging="720"/>
        <w:jc w:val="both"/>
        <w:rPr>
          <w:rFonts w:asciiTheme="majorBidi" w:hAnsiTheme="majorBidi" w:cstheme="majorBidi"/>
          <w:color w:val="000000"/>
        </w:rPr>
      </w:pPr>
      <w:r w:rsidRPr="00F752EB">
        <w:rPr>
          <w:rFonts w:asciiTheme="majorBidi" w:hAnsiTheme="majorBidi" w:cstheme="majorBidi"/>
          <w:color w:val="000000" w:themeColor="text1"/>
        </w:rPr>
        <w:t xml:space="preserve">[10] </w:t>
      </w:r>
      <w:r w:rsidRPr="00F752EB">
        <w:rPr>
          <w:rFonts w:asciiTheme="majorBidi" w:hAnsiTheme="majorBidi" w:cstheme="majorBidi"/>
          <w:color w:val="000000" w:themeColor="text1"/>
        </w:rPr>
        <w:tab/>
      </w:r>
      <w:r w:rsidRPr="00C07BD8">
        <w:rPr>
          <w:rFonts w:asciiTheme="majorBidi" w:hAnsiTheme="majorBidi" w:cstheme="majorBidi"/>
          <w:color w:val="000000" w:themeColor="text1"/>
          <w:lang w:val="en-CA"/>
        </w:rPr>
        <w:t xml:space="preserve">Lafrance S. (2020), ‘The Rules Applicable to Conflicts of Interests for Canadian State Representatives’, </w:t>
      </w:r>
      <w:r w:rsidRPr="00C07BD8">
        <w:rPr>
          <w:rFonts w:asciiTheme="majorBidi" w:hAnsiTheme="majorBidi" w:cstheme="majorBidi"/>
          <w:i/>
          <w:color w:val="000000" w:themeColor="text1"/>
          <w:lang w:val="en-CA"/>
        </w:rPr>
        <w:t>Vietnam Journal of Legal Sciences</w:t>
      </w:r>
      <w:r w:rsidRPr="00C07BD8">
        <w:rPr>
          <w:rFonts w:asciiTheme="majorBidi" w:hAnsiTheme="majorBidi" w:cstheme="majorBidi"/>
          <w:color w:val="000000" w:themeColor="text1"/>
          <w:lang w:val="en-CA"/>
        </w:rPr>
        <w:t>,</w:t>
      </w:r>
      <w:r w:rsidRPr="00C07BD8">
        <w:rPr>
          <w:rFonts w:asciiTheme="majorBidi" w:hAnsiTheme="majorBidi" w:cstheme="majorBidi"/>
          <w:i/>
          <w:color w:val="000000" w:themeColor="text1"/>
          <w:lang w:val="en-CA"/>
        </w:rPr>
        <w:t xml:space="preserve"> </w:t>
      </w:r>
      <w:r w:rsidRPr="00C07BD8">
        <w:rPr>
          <w:rFonts w:asciiTheme="majorBidi" w:hAnsiTheme="majorBidi" w:cstheme="majorBidi"/>
          <w:iCs/>
          <w:color w:val="000000" w:themeColor="text1"/>
          <w:lang w:val="en-CA"/>
        </w:rPr>
        <w:t>2</w:t>
      </w:r>
      <w:r w:rsidRPr="00C07BD8">
        <w:rPr>
          <w:rFonts w:asciiTheme="majorBidi" w:hAnsiTheme="majorBidi" w:cstheme="majorBidi"/>
          <w:color w:val="000000" w:themeColor="text1"/>
          <w:lang w:val="en-CA"/>
        </w:rPr>
        <w:t>(2)</w:t>
      </w:r>
      <w:r>
        <w:rPr>
          <w:rFonts w:asciiTheme="majorBidi" w:hAnsiTheme="majorBidi" w:cstheme="majorBidi"/>
          <w:color w:val="000000" w:themeColor="text1"/>
          <w:lang w:val="en-CA"/>
        </w:rPr>
        <w:t>.</w:t>
      </w:r>
    </w:p>
    <w:p w14:paraId="7AFF4604" w14:textId="77777777" w:rsidR="00996F13" w:rsidRPr="00F752EB" w:rsidRDefault="00996F13" w:rsidP="00996F13">
      <w:pPr>
        <w:spacing w:before="120" w:after="120"/>
        <w:ind w:left="720" w:hanging="720"/>
        <w:jc w:val="both"/>
        <w:rPr>
          <w:rFonts w:asciiTheme="majorBidi" w:hAnsiTheme="majorBidi" w:cstheme="majorBidi"/>
          <w:b/>
          <w:color w:val="000000" w:themeColor="text1"/>
        </w:rPr>
      </w:pPr>
      <w:r w:rsidRPr="00F752EB">
        <w:rPr>
          <w:rFonts w:asciiTheme="majorBidi" w:hAnsiTheme="majorBidi" w:cstheme="majorBidi"/>
          <w:color w:val="000000" w:themeColor="text1"/>
        </w:rPr>
        <w:t xml:space="preserve">[11] </w:t>
      </w:r>
      <w:r w:rsidRPr="00F752EB">
        <w:rPr>
          <w:rFonts w:asciiTheme="majorBidi" w:hAnsiTheme="majorBidi" w:cstheme="majorBidi"/>
          <w:color w:val="000000" w:themeColor="text1"/>
        </w:rPr>
        <w:tab/>
      </w:r>
      <w:r w:rsidRPr="00D5648C">
        <w:rPr>
          <w:rFonts w:asciiTheme="majorBidi" w:hAnsiTheme="majorBidi" w:cstheme="majorBidi"/>
          <w:color w:val="000000"/>
        </w:rPr>
        <w:t xml:space="preserve">Lafrance S. (2019) ‘Trách nhiệm hình sự của doanh nghiệp tại Canada’ [Corporate criminal liability in Canada] in </w:t>
      </w:r>
      <w:r w:rsidRPr="00D5648C">
        <w:rPr>
          <w:rFonts w:asciiTheme="majorBidi" w:hAnsiTheme="majorBidi" w:cstheme="majorBidi"/>
          <w:color w:val="333333"/>
          <w:shd w:val="clear" w:color="auto" w:fill="FFFFFF"/>
        </w:rPr>
        <w:t>PGS.TS. Nguyễn Ngọc Chí (Chủ biên)</w:t>
      </w:r>
      <w:r w:rsidRPr="00D5648C">
        <w:rPr>
          <w:rFonts w:asciiTheme="majorBidi" w:hAnsiTheme="majorBidi" w:cstheme="majorBidi"/>
          <w:color w:val="000000"/>
        </w:rPr>
        <w:t xml:space="preserve"> </w:t>
      </w:r>
      <w:r w:rsidRPr="00D5648C">
        <w:rPr>
          <w:rFonts w:asciiTheme="majorBidi" w:hAnsiTheme="majorBidi" w:cstheme="majorBidi"/>
          <w:i/>
          <w:iCs/>
          <w:color w:val="000000"/>
        </w:rPr>
        <w:t xml:space="preserve">Thủ tục truy cứu trách nhiệm hình sự đối với pháp nhân thương mại và những vấn đề đặt ra khi thi hành Bộ luật Tố tụng hình sự (hiện hành) (Sách chuyên khảo) </w:t>
      </w:r>
      <w:r w:rsidRPr="00D5648C">
        <w:rPr>
          <w:rFonts w:asciiTheme="majorBidi" w:hAnsiTheme="majorBidi" w:cstheme="majorBidi"/>
          <w:color w:val="000000"/>
        </w:rPr>
        <w:t>[Procedures for criminal prosecution against commercial legal entities and issues raised when implementing the Criminal Procedure Code (current) (Monograph)], Nhà xuất bản Chính trị quốc gia Sư thật [National Political Publishing House]</w:t>
      </w:r>
      <w:r>
        <w:rPr>
          <w:rFonts w:asciiTheme="majorBidi" w:hAnsiTheme="majorBidi" w:cstheme="majorBidi"/>
          <w:color w:val="000000"/>
        </w:rPr>
        <w:t>.</w:t>
      </w:r>
    </w:p>
    <w:p w14:paraId="2E2DF9DF" w14:textId="77777777" w:rsidR="00996F13" w:rsidRPr="00F752EB" w:rsidRDefault="00996F13" w:rsidP="00996F13">
      <w:pPr>
        <w:spacing w:before="120" w:after="120"/>
        <w:ind w:left="720" w:hanging="720"/>
        <w:jc w:val="both"/>
      </w:pPr>
      <w:r w:rsidRPr="00F752EB">
        <w:rPr>
          <w:rFonts w:asciiTheme="majorBidi" w:hAnsiTheme="majorBidi" w:cstheme="majorBidi"/>
          <w:color w:val="000000" w:themeColor="text1"/>
        </w:rPr>
        <w:t xml:space="preserve">[12] </w:t>
      </w:r>
      <w:r w:rsidRPr="00F752EB">
        <w:rPr>
          <w:rFonts w:asciiTheme="majorBidi" w:hAnsiTheme="majorBidi" w:cstheme="majorBidi"/>
          <w:color w:val="000000" w:themeColor="text1"/>
        </w:rPr>
        <w:tab/>
      </w:r>
      <w:r w:rsidRPr="0085240F">
        <w:t>Leasure</w:t>
      </w:r>
      <w:r>
        <w:t>, P.</w:t>
      </w:r>
      <w:r w:rsidRPr="0085240F">
        <w:t xml:space="preserve"> (2016), ‘</w:t>
      </w:r>
      <w:r w:rsidRPr="00AE7806">
        <w:rPr>
          <w:rFonts w:asciiTheme="majorBidi" w:hAnsiTheme="majorBidi" w:cstheme="majorBidi"/>
        </w:rPr>
        <w:t>Asset recovery in corruption cases</w:t>
      </w:r>
      <w:r w:rsidRPr="0085240F">
        <w:rPr>
          <w:rFonts w:asciiTheme="majorBidi" w:hAnsiTheme="majorBidi" w:cstheme="majorBidi"/>
        </w:rPr>
        <w:t>:</w:t>
      </w:r>
      <w:r w:rsidRPr="00AE7806">
        <w:rPr>
          <w:rFonts w:asciiTheme="majorBidi" w:hAnsiTheme="majorBidi" w:cstheme="majorBidi"/>
        </w:rPr>
        <w:t xml:space="preserve"> </w:t>
      </w:r>
      <w:r w:rsidRPr="0085240F">
        <w:rPr>
          <w:rFonts w:asciiTheme="majorBidi" w:hAnsiTheme="majorBidi" w:cstheme="majorBidi"/>
        </w:rPr>
        <w:t>Comparative analysis identifi</w:t>
      </w:r>
      <w:r w:rsidRPr="00AE7806">
        <w:rPr>
          <w:rFonts w:asciiTheme="majorBidi" w:hAnsiTheme="majorBidi" w:cstheme="majorBidi"/>
        </w:rPr>
        <w:t xml:space="preserve">es serious </w:t>
      </w:r>
      <w:r>
        <w:rPr>
          <w:rFonts w:asciiTheme="majorBidi" w:hAnsiTheme="majorBidi" w:cstheme="majorBidi"/>
        </w:rPr>
        <w:t>fl</w:t>
      </w:r>
      <w:r w:rsidRPr="00AE7806">
        <w:rPr>
          <w:rFonts w:asciiTheme="majorBidi" w:hAnsiTheme="majorBidi" w:cstheme="majorBidi"/>
        </w:rPr>
        <w:t>aws in US tracing procedure</w:t>
      </w:r>
      <w:r w:rsidRPr="0085240F">
        <w:rPr>
          <w:rFonts w:asciiTheme="majorBidi" w:hAnsiTheme="majorBidi" w:cstheme="majorBidi"/>
        </w:rPr>
        <w:t>’</w:t>
      </w:r>
      <w:r>
        <w:rPr>
          <w:rFonts w:asciiTheme="majorBidi" w:hAnsiTheme="majorBidi" w:cstheme="majorBidi"/>
        </w:rPr>
        <w:t>,</w:t>
      </w:r>
      <w:r w:rsidRPr="00AE7806">
        <w:rPr>
          <w:rFonts w:asciiTheme="majorBidi" w:hAnsiTheme="majorBidi" w:cstheme="majorBidi"/>
        </w:rPr>
        <w:t xml:space="preserve"> </w:t>
      </w:r>
      <w:r w:rsidRPr="00F84D3D">
        <w:rPr>
          <w:i/>
          <w:iCs/>
        </w:rPr>
        <w:t>Journal of Money Laundering Control</w:t>
      </w:r>
      <w:r w:rsidRPr="0085240F">
        <w:t>, 19(1)</w:t>
      </w:r>
      <w:r>
        <w:t>.</w:t>
      </w:r>
    </w:p>
    <w:p w14:paraId="34D7A193" w14:textId="77777777" w:rsidR="00996F13" w:rsidRPr="00F752EB" w:rsidRDefault="00996F13" w:rsidP="00996F13">
      <w:pPr>
        <w:spacing w:before="120" w:after="120"/>
        <w:ind w:left="720" w:hanging="720"/>
        <w:jc w:val="both"/>
        <w:rPr>
          <w:rFonts w:asciiTheme="majorBidi" w:hAnsiTheme="majorBidi" w:cstheme="majorBidi"/>
          <w:color w:val="000000" w:themeColor="text1"/>
          <w:lang w:val="en-CA"/>
        </w:rPr>
      </w:pPr>
      <w:r w:rsidRPr="00F752EB">
        <w:rPr>
          <w:rFonts w:asciiTheme="majorBidi" w:hAnsiTheme="majorBidi" w:cstheme="majorBidi"/>
          <w:color w:val="000000" w:themeColor="text1"/>
        </w:rPr>
        <w:t xml:space="preserve">[13] </w:t>
      </w:r>
      <w:r w:rsidRPr="00F752EB">
        <w:rPr>
          <w:rFonts w:asciiTheme="majorBidi" w:hAnsiTheme="majorBidi" w:cstheme="majorBidi"/>
          <w:color w:val="000000" w:themeColor="text1"/>
        </w:rPr>
        <w:tab/>
      </w:r>
      <w:r w:rsidRPr="00C033BC">
        <w:rPr>
          <w:rFonts w:asciiTheme="majorBidi" w:hAnsiTheme="majorBidi" w:cstheme="majorBidi"/>
          <w:color w:val="000000" w:themeColor="text1"/>
          <w:lang w:val="en-CA"/>
        </w:rPr>
        <w:t xml:space="preserve">Lisciandra M. (2017), ‘Corruption’ in </w:t>
      </w:r>
      <w:r w:rsidRPr="00C033BC">
        <w:rPr>
          <w:rStyle w:val="fontstyle01"/>
          <w:rFonts w:asciiTheme="majorBidi" w:hAnsiTheme="majorBidi" w:cstheme="majorBidi"/>
          <w:color w:val="000000" w:themeColor="text1"/>
          <w:sz w:val="24"/>
          <w:szCs w:val="24"/>
          <w:lang w:val="en-CA"/>
        </w:rPr>
        <w:t xml:space="preserve">A. Marciano, G.B. Ramello (eds.), </w:t>
      </w:r>
      <w:r w:rsidRPr="00C033BC">
        <w:rPr>
          <w:rStyle w:val="fontstyle21"/>
          <w:rFonts w:asciiTheme="majorBidi" w:hAnsiTheme="majorBidi" w:cstheme="majorBidi"/>
          <w:i/>
          <w:color w:val="000000" w:themeColor="text1"/>
          <w:sz w:val="24"/>
          <w:szCs w:val="24"/>
          <w:lang w:val="en-CA"/>
        </w:rPr>
        <w:t>Encyclopedia of Law and Economics</w:t>
      </w:r>
      <w:r w:rsidRPr="00C033BC">
        <w:rPr>
          <w:rStyle w:val="fontstyle01"/>
          <w:rFonts w:asciiTheme="majorBidi" w:hAnsiTheme="majorBidi" w:cstheme="majorBidi"/>
          <w:color w:val="000000" w:themeColor="text1"/>
          <w:sz w:val="24"/>
          <w:szCs w:val="24"/>
          <w:lang w:val="en-CA"/>
        </w:rPr>
        <w:t>, Springer Science+Media Business</w:t>
      </w:r>
      <w:r>
        <w:rPr>
          <w:rStyle w:val="fontstyle01"/>
          <w:rFonts w:asciiTheme="majorBidi" w:hAnsiTheme="majorBidi" w:cstheme="majorBidi"/>
          <w:color w:val="000000" w:themeColor="text1"/>
          <w:sz w:val="24"/>
          <w:szCs w:val="24"/>
          <w:lang w:val="en-CA"/>
        </w:rPr>
        <w:t>.</w:t>
      </w:r>
    </w:p>
    <w:p w14:paraId="4F5E5BC5" w14:textId="77777777" w:rsidR="00996F13" w:rsidRPr="00996F13" w:rsidRDefault="00996F13" w:rsidP="00996F13">
      <w:pPr>
        <w:spacing w:before="120" w:after="120"/>
        <w:ind w:left="720" w:hanging="720"/>
        <w:jc w:val="both"/>
        <w:rPr>
          <w:rFonts w:asciiTheme="majorBidi" w:hAnsiTheme="majorBidi" w:cstheme="majorBidi"/>
          <w:color w:val="000000" w:themeColor="text1"/>
          <w:lang w:val="fr-FR"/>
        </w:rPr>
      </w:pPr>
      <w:r w:rsidRPr="00996F13">
        <w:rPr>
          <w:rFonts w:asciiTheme="majorBidi" w:hAnsiTheme="majorBidi" w:cstheme="majorBidi"/>
          <w:color w:val="000000" w:themeColor="text1"/>
          <w:lang w:val="fr-FR"/>
        </w:rPr>
        <w:t>[14]</w:t>
      </w:r>
      <w:r w:rsidRPr="00996F13">
        <w:rPr>
          <w:rFonts w:asciiTheme="majorBidi" w:hAnsiTheme="majorBidi" w:cstheme="majorBidi"/>
          <w:color w:val="000000" w:themeColor="text1"/>
          <w:lang w:val="fr-FR"/>
        </w:rPr>
        <w:tab/>
        <w:t>Mockle D. (2019), ‘Le principe général du bon gouvernement’ [</w:t>
      </w:r>
      <w:r w:rsidRPr="00996F13">
        <w:rPr>
          <w:rFonts w:asciiTheme="majorBidi" w:hAnsiTheme="majorBidi" w:cstheme="majorBidi"/>
          <w:i/>
          <w:color w:val="000000" w:themeColor="text1"/>
          <w:lang w:val="fr-FR"/>
        </w:rPr>
        <w:t>The General Principle of Good Governance</w:t>
      </w:r>
      <w:r w:rsidRPr="00996F13">
        <w:rPr>
          <w:rFonts w:asciiTheme="majorBidi" w:hAnsiTheme="majorBidi" w:cstheme="majorBidi"/>
          <w:color w:val="000000" w:themeColor="text1"/>
          <w:lang w:val="fr-FR"/>
        </w:rPr>
        <w:t xml:space="preserve">], </w:t>
      </w:r>
      <w:r w:rsidRPr="00996F13">
        <w:rPr>
          <w:rFonts w:asciiTheme="majorBidi" w:hAnsiTheme="majorBidi" w:cstheme="majorBidi"/>
          <w:i/>
          <w:iCs/>
          <w:color w:val="000000" w:themeColor="text1"/>
          <w:lang w:val="fr-FR"/>
        </w:rPr>
        <w:t>Les Cahiers de droit</w:t>
      </w:r>
      <w:r w:rsidRPr="00996F13">
        <w:rPr>
          <w:rFonts w:asciiTheme="majorBidi" w:hAnsiTheme="majorBidi" w:cstheme="majorBidi"/>
          <w:color w:val="000000" w:themeColor="text1"/>
          <w:lang w:val="fr-FR"/>
        </w:rPr>
        <w:t>, 60(4), 1031-1086.</w:t>
      </w:r>
    </w:p>
    <w:p w14:paraId="71F36676" w14:textId="77777777" w:rsidR="00996F13" w:rsidRPr="00F752EB" w:rsidRDefault="00996F13" w:rsidP="00996F13">
      <w:pPr>
        <w:spacing w:before="120" w:after="120"/>
        <w:ind w:left="720" w:hanging="720"/>
        <w:jc w:val="both"/>
        <w:rPr>
          <w:rFonts w:asciiTheme="majorBidi" w:hAnsiTheme="majorBidi" w:cstheme="majorBidi"/>
          <w:color w:val="000000" w:themeColor="text1"/>
        </w:rPr>
      </w:pPr>
      <w:r w:rsidRPr="00F752EB">
        <w:rPr>
          <w:rFonts w:asciiTheme="majorBidi" w:hAnsiTheme="majorBidi" w:cstheme="majorBidi"/>
          <w:color w:val="000000" w:themeColor="text1"/>
        </w:rPr>
        <w:t xml:space="preserve">[15] </w:t>
      </w:r>
      <w:r w:rsidRPr="00F752EB">
        <w:rPr>
          <w:rFonts w:asciiTheme="majorBidi" w:hAnsiTheme="majorBidi" w:cstheme="majorBidi"/>
          <w:color w:val="000000" w:themeColor="text1"/>
        </w:rPr>
        <w:tab/>
      </w:r>
      <w:r w:rsidRPr="00A66507">
        <w:rPr>
          <w:rFonts w:asciiTheme="majorBidi" w:hAnsiTheme="majorBidi" w:cstheme="majorBidi"/>
          <w:color w:val="000000" w:themeColor="text1"/>
        </w:rPr>
        <w:t>Sandage, J. (2015). Global Corruption and the Universal Approach of the United Nations</w:t>
      </w:r>
      <w:r>
        <w:rPr>
          <w:rFonts w:asciiTheme="majorBidi" w:hAnsiTheme="majorBidi" w:cstheme="majorBidi"/>
          <w:color w:val="000000" w:themeColor="text1"/>
        </w:rPr>
        <w:t xml:space="preserve"> Convention against Corruption, </w:t>
      </w:r>
      <w:r w:rsidRPr="001076FA">
        <w:rPr>
          <w:rFonts w:asciiTheme="majorBidi" w:hAnsiTheme="majorBidi" w:cstheme="majorBidi"/>
          <w:i/>
          <w:iCs/>
          <w:color w:val="000000" w:themeColor="text1"/>
        </w:rPr>
        <w:t>Osgoode Hall Law Journal</w:t>
      </w:r>
      <w:r w:rsidRPr="00A66507">
        <w:rPr>
          <w:rFonts w:asciiTheme="majorBidi" w:hAnsiTheme="majorBidi" w:cstheme="majorBidi"/>
          <w:color w:val="000000" w:themeColor="text1"/>
        </w:rPr>
        <w:t xml:space="preserve">, 53(1), 7-30. </w:t>
      </w:r>
    </w:p>
    <w:p w14:paraId="2224E1D9" w14:textId="5BBDC007" w:rsidR="00996F13" w:rsidRDefault="00996F13" w:rsidP="00996F13">
      <w:pPr>
        <w:jc w:val="both"/>
        <w:rPr>
          <w:rFonts w:asciiTheme="majorBidi" w:hAnsiTheme="majorBidi" w:cstheme="majorBidi"/>
        </w:rPr>
      </w:pPr>
      <w:r w:rsidRPr="004560B4">
        <w:rPr>
          <w:rFonts w:asciiTheme="majorBidi" w:hAnsiTheme="majorBidi" w:cstheme="majorBidi"/>
          <w:color w:val="000000" w:themeColor="text1"/>
        </w:rPr>
        <w:lastRenderedPageBreak/>
        <w:t xml:space="preserve">[16] </w:t>
      </w:r>
      <w:r w:rsidRPr="004560B4">
        <w:rPr>
          <w:rFonts w:asciiTheme="majorBidi" w:hAnsiTheme="majorBidi" w:cstheme="majorBidi"/>
          <w:color w:val="000000" w:themeColor="text1"/>
        </w:rPr>
        <w:tab/>
      </w:r>
      <w:r w:rsidRPr="00C033BC">
        <w:rPr>
          <w:rFonts w:asciiTheme="majorBidi" w:hAnsiTheme="majorBidi" w:cstheme="majorBidi"/>
        </w:rPr>
        <w:t>Tromme, M. (2019). ‘Waging War against Corruption in Developing Countries: How Asset Recovery can be Compliant with the Rule of Law’</w:t>
      </w:r>
      <w:r>
        <w:rPr>
          <w:rFonts w:asciiTheme="majorBidi" w:hAnsiTheme="majorBidi" w:cstheme="majorBidi"/>
        </w:rPr>
        <w:t>,</w:t>
      </w:r>
      <w:r w:rsidRPr="00C033BC">
        <w:rPr>
          <w:rFonts w:asciiTheme="majorBidi" w:hAnsiTheme="majorBidi" w:cstheme="majorBidi"/>
        </w:rPr>
        <w:t xml:space="preserve"> </w:t>
      </w:r>
      <w:r w:rsidRPr="001076FA">
        <w:rPr>
          <w:rFonts w:asciiTheme="majorBidi" w:hAnsiTheme="majorBidi" w:cstheme="majorBidi"/>
          <w:i/>
          <w:iCs/>
        </w:rPr>
        <w:t>Duke Journal of Comparative and International Law</w:t>
      </w:r>
      <w:r w:rsidRPr="00C033BC">
        <w:rPr>
          <w:rFonts w:asciiTheme="majorBidi" w:hAnsiTheme="majorBidi" w:cstheme="majorBidi"/>
        </w:rPr>
        <w:t>, 29(2)</w:t>
      </w:r>
      <w:r>
        <w:rPr>
          <w:rFonts w:asciiTheme="majorBidi" w:hAnsiTheme="majorBidi" w:cstheme="majorBidi"/>
        </w:rPr>
        <w:t>.</w:t>
      </w:r>
    </w:p>
    <w:p w14:paraId="197CBA17" w14:textId="5FD198A0" w:rsidR="00996F13" w:rsidRPr="00464B7A" w:rsidRDefault="00996F13" w:rsidP="00996F13">
      <w:pPr>
        <w:jc w:val="both"/>
        <w:rPr>
          <w:rFonts w:asciiTheme="majorBidi" w:hAnsiTheme="majorBidi" w:cstheme="majorBidi"/>
          <w:b/>
          <w:bCs/>
        </w:rPr>
      </w:pPr>
      <w:r w:rsidRPr="00464B7A">
        <w:rPr>
          <w:rFonts w:asciiTheme="majorBidi" w:hAnsiTheme="majorBidi" w:cstheme="majorBidi"/>
          <w:b/>
          <w:bCs/>
        </w:rPr>
        <w:t>Bản án</w:t>
      </w:r>
    </w:p>
    <w:p w14:paraId="44137316" w14:textId="77777777" w:rsidR="00996F13" w:rsidRPr="00F752EB" w:rsidRDefault="00996F13" w:rsidP="00996F13">
      <w:pPr>
        <w:spacing w:before="120" w:after="120"/>
        <w:ind w:left="720" w:hanging="720"/>
        <w:jc w:val="both"/>
        <w:rPr>
          <w:rFonts w:asciiTheme="majorBidi" w:hAnsiTheme="majorBidi" w:cstheme="majorBidi"/>
          <w:iCs/>
          <w:color w:val="000000" w:themeColor="text1"/>
          <w:lang w:val="en-CA"/>
        </w:rPr>
      </w:pPr>
      <w:r w:rsidRPr="004560B4">
        <w:rPr>
          <w:rFonts w:asciiTheme="majorBidi" w:hAnsiTheme="majorBidi" w:cstheme="majorBidi"/>
          <w:color w:val="000000" w:themeColor="text1"/>
        </w:rPr>
        <w:t>[17]</w:t>
      </w:r>
      <w:r w:rsidRPr="004560B4">
        <w:rPr>
          <w:rFonts w:asciiTheme="majorBidi" w:hAnsiTheme="majorBidi" w:cstheme="majorBidi"/>
          <w:color w:val="000000" w:themeColor="text1"/>
        </w:rPr>
        <w:tab/>
      </w:r>
      <w:r w:rsidRPr="00C033BC">
        <w:rPr>
          <w:rFonts w:asciiTheme="majorBidi" w:hAnsiTheme="majorBidi" w:cstheme="majorBidi"/>
          <w:i/>
          <w:iCs/>
          <w:color w:val="000000" w:themeColor="text1"/>
          <w:spacing w:val="-3"/>
          <w:shd w:val="clear" w:color="auto" w:fill="FFFFFF"/>
        </w:rPr>
        <w:t>Canadian Dredge &amp; Dock Co. v. The Queen</w:t>
      </w:r>
      <w:r w:rsidRPr="00C033BC">
        <w:rPr>
          <w:rFonts w:asciiTheme="majorBidi" w:hAnsiTheme="majorBidi" w:cstheme="majorBidi"/>
          <w:color w:val="000000" w:themeColor="text1"/>
          <w:spacing w:val="-3"/>
          <w:shd w:val="clear" w:color="auto" w:fill="FFFFFF"/>
        </w:rPr>
        <w:t>,</w:t>
      </w:r>
      <w:r w:rsidRPr="00C033BC">
        <w:rPr>
          <w:rFonts w:asciiTheme="majorBidi" w:hAnsiTheme="majorBidi" w:cstheme="majorBidi"/>
          <w:color w:val="000000" w:themeColor="text1"/>
        </w:rPr>
        <w:t xml:space="preserve"> [1985] 1 S.C.R. 662</w:t>
      </w:r>
    </w:p>
    <w:p w14:paraId="3932E93C" w14:textId="77777777" w:rsidR="00996F13" w:rsidRPr="004560B4" w:rsidRDefault="00996F13" w:rsidP="00996F13">
      <w:pPr>
        <w:spacing w:before="120" w:after="120"/>
        <w:jc w:val="both"/>
        <w:rPr>
          <w:rFonts w:asciiTheme="majorBidi" w:hAnsiTheme="majorBidi" w:cstheme="majorBidi"/>
          <w:color w:val="000000" w:themeColor="text1"/>
        </w:rPr>
      </w:pPr>
      <w:r w:rsidRPr="00996F13">
        <w:rPr>
          <w:rFonts w:asciiTheme="majorBidi" w:hAnsiTheme="majorBidi" w:cstheme="majorBidi"/>
          <w:color w:val="000000" w:themeColor="text1"/>
          <w:lang w:val="fr-FR"/>
        </w:rPr>
        <w:t>[18]</w:t>
      </w:r>
      <w:r w:rsidRPr="00996F13">
        <w:rPr>
          <w:rFonts w:asciiTheme="majorBidi" w:hAnsiTheme="majorBidi" w:cstheme="majorBidi"/>
          <w:color w:val="000000" w:themeColor="text1"/>
          <w:lang w:val="fr-FR"/>
        </w:rPr>
        <w:tab/>
      </w:r>
      <w:r w:rsidRPr="00996F13">
        <w:rPr>
          <w:rFonts w:asciiTheme="majorBidi" w:hAnsiTheme="majorBidi" w:cstheme="majorBidi"/>
          <w:i/>
          <w:iCs/>
          <w:color w:val="000000" w:themeColor="text1"/>
          <w:lang w:val="fr-FR"/>
        </w:rPr>
        <w:t xml:space="preserve">Deloitte &amp; Touche v. Livent Inc. </w:t>
      </w:r>
      <w:r w:rsidRPr="00C033BC">
        <w:rPr>
          <w:rFonts w:asciiTheme="majorBidi" w:hAnsiTheme="majorBidi" w:cstheme="majorBidi"/>
          <w:i/>
          <w:iCs/>
          <w:color w:val="000000" w:themeColor="text1"/>
        </w:rPr>
        <w:t>(Receiver of)</w:t>
      </w:r>
      <w:r w:rsidRPr="00C033BC">
        <w:rPr>
          <w:rFonts w:asciiTheme="majorBidi" w:hAnsiTheme="majorBidi" w:cstheme="majorBidi"/>
          <w:color w:val="000000" w:themeColor="text1"/>
        </w:rPr>
        <w:t>, [2017] 2 S.C.R. 855</w:t>
      </w:r>
    </w:p>
    <w:p w14:paraId="712A7F41" w14:textId="77777777" w:rsidR="00996F13" w:rsidRPr="00F752EB" w:rsidRDefault="00996F13" w:rsidP="00996F13">
      <w:pPr>
        <w:spacing w:before="120" w:after="120"/>
        <w:jc w:val="both"/>
        <w:rPr>
          <w:rFonts w:asciiTheme="majorBidi" w:hAnsiTheme="majorBidi" w:cstheme="majorBidi"/>
          <w:bCs/>
          <w:i/>
          <w:iCs/>
          <w:color w:val="212529"/>
        </w:rPr>
      </w:pPr>
      <w:r w:rsidRPr="004560B4">
        <w:rPr>
          <w:rFonts w:asciiTheme="majorBidi" w:hAnsiTheme="majorBidi" w:cstheme="majorBidi"/>
          <w:color w:val="000000" w:themeColor="text1"/>
        </w:rPr>
        <w:t xml:space="preserve">[19] </w:t>
      </w:r>
      <w:r w:rsidRPr="004560B4">
        <w:rPr>
          <w:rFonts w:asciiTheme="majorBidi" w:hAnsiTheme="majorBidi" w:cstheme="majorBidi"/>
          <w:color w:val="000000" w:themeColor="text1"/>
        </w:rPr>
        <w:tab/>
      </w:r>
      <w:r w:rsidRPr="00A66507">
        <w:rPr>
          <w:rFonts w:asciiTheme="majorBidi" w:hAnsiTheme="majorBidi" w:cstheme="majorBidi"/>
          <w:i/>
          <w:color w:val="000000" w:themeColor="text1"/>
          <w:lang w:val="en-CA"/>
        </w:rPr>
        <w:t>Globe and Mail v. Canada (Attorney General)</w:t>
      </w:r>
      <w:r w:rsidRPr="00A66507">
        <w:rPr>
          <w:rFonts w:asciiTheme="majorBidi" w:hAnsiTheme="majorBidi" w:cstheme="majorBidi"/>
          <w:color w:val="000000" w:themeColor="text1"/>
          <w:lang w:val="en-CA"/>
        </w:rPr>
        <w:t>, [2010] 2 S.C.R. 592</w:t>
      </w:r>
    </w:p>
    <w:p w14:paraId="0660E65D" w14:textId="77777777" w:rsidR="00996F13" w:rsidRPr="00996F13" w:rsidRDefault="00996F13" w:rsidP="00996F13">
      <w:pPr>
        <w:spacing w:before="120" w:after="120"/>
        <w:jc w:val="both"/>
        <w:rPr>
          <w:i/>
          <w:iCs/>
          <w:lang w:val="fr-FR"/>
        </w:rPr>
      </w:pPr>
      <w:r w:rsidRPr="00996F13">
        <w:rPr>
          <w:rFonts w:asciiTheme="majorBidi" w:hAnsiTheme="majorBidi" w:cstheme="majorBidi"/>
          <w:color w:val="000000" w:themeColor="text1"/>
          <w:lang w:val="fr-FR"/>
        </w:rPr>
        <w:t>[20]</w:t>
      </w:r>
      <w:r w:rsidRPr="00996F13">
        <w:rPr>
          <w:rFonts w:asciiTheme="majorBidi" w:hAnsiTheme="majorBidi" w:cstheme="majorBidi"/>
          <w:color w:val="000000" w:themeColor="text1"/>
          <w:lang w:val="fr-FR"/>
        </w:rPr>
        <w:tab/>
      </w:r>
      <w:r w:rsidRPr="00996F13">
        <w:rPr>
          <w:rFonts w:asciiTheme="majorBidi" w:hAnsiTheme="majorBidi" w:cstheme="majorBidi"/>
          <w:bCs/>
          <w:i/>
          <w:iCs/>
          <w:color w:val="212529"/>
          <w:lang w:val="fr-FR"/>
        </w:rPr>
        <w:t>Livent Inc. v. Deloitte &amp; Touche</w:t>
      </w:r>
      <w:r w:rsidRPr="00996F13">
        <w:rPr>
          <w:rFonts w:asciiTheme="majorBidi" w:hAnsiTheme="majorBidi" w:cstheme="majorBidi"/>
          <w:bCs/>
          <w:color w:val="212529"/>
          <w:lang w:val="fr-FR"/>
        </w:rPr>
        <w:t>, 2016 ONCA 11</w:t>
      </w:r>
    </w:p>
    <w:p w14:paraId="4E723A1A" w14:textId="77777777" w:rsidR="00996F13" w:rsidRPr="00977342" w:rsidRDefault="00996F13" w:rsidP="00996F13">
      <w:pPr>
        <w:spacing w:before="120" w:after="120"/>
        <w:jc w:val="both"/>
        <w:rPr>
          <w:rFonts w:asciiTheme="majorBidi" w:hAnsiTheme="majorBidi" w:cstheme="majorBidi"/>
          <w:i/>
          <w:iCs/>
          <w:color w:val="212529"/>
        </w:rPr>
      </w:pPr>
      <w:r w:rsidRPr="00977342">
        <w:rPr>
          <w:rFonts w:asciiTheme="majorBidi" w:hAnsiTheme="majorBidi" w:cstheme="majorBidi"/>
          <w:color w:val="000000" w:themeColor="text1"/>
        </w:rPr>
        <w:t xml:space="preserve">[21] </w:t>
      </w:r>
      <w:r w:rsidRPr="00977342">
        <w:rPr>
          <w:rFonts w:asciiTheme="majorBidi" w:hAnsiTheme="majorBidi" w:cstheme="majorBidi"/>
          <w:color w:val="000000" w:themeColor="text1"/>
        </w:rPr>
        <w:tab/>
      </w:r>
      <w:r w:rsidRPr="00977342">
        <w:rPr>
          <w:i/>
          <w:iCs/>
        </w:rPr>
        <w:t>Quebec (Attorney General) v. Laroche</w:t>
      </w:r>
      <w:r w:rsidRPr="00977342">
        <w:t>, [2002] 3 S.C.R. 708</w:t>
      </w:r>
    </w:p>
    <w:p w14:paraId="0F2BD9C1" w14:textId="77777777" w:rsidR="00996F13" w:rsidRPr="000B7C44" w:rsidRDefault="00996F13" w:rsidP="00996F13">
      <w:pPr>
        <w:spacing w:before="120" w:after="120"/>
        <w:ind w:left="720" w:hanging="720"/>
        <w:jc w:val="both"/>
        <w:rPr>
          <w:rFonts w:asciiTheme="majorBidi" w:hAnsiTheme="majorBidi" w:cstheme="majorBidi"/>
          <w:color w:val="212529"/>
        </w:rPr>
      </w:pPr>
      <w:r w:rsidRPr="000B7C44">
        <w:rPr>
          <w:rFonts w:asciiTheme="majorBidi" w:hAnsiTheme="majorBidi" w:cstheme="majorBidi"/>
          <w:color w:val="000000" w:themeColor="text1"/>
        </w:rPr>
        <w:t>[22]</w:t>
      </w:r>
      <w:r w:rsidRPr="000B7C44">
        <w:rPr>
          <w:rFonts w:asciiTheme="majorBidi" w:hAnsiTheme="majorBidi" w:cstheme="majorBidi"/>
          <w:color w:val="000000" w:themeColor="text1"/>
        </w:rPr>
        <w:tab/>
      </w:r>
      <w:r w:rsidRPr="000B7C44">
        <w:rPr>
          <w:rFonts w:asciiTheme="majorBidi" w:hAnsiTheme="majorBidi" w:cstheme="majorBidi"/>
          <w:i/>
          <w:iCs/>
          <w:color w:val="212529"/>
        </w:rPr>
        <w:t>R. c. Applebaum</w:t>
      </w:r>
      <w:r w:rsidRPr="000B7C44">
        <w:rPr>
          <w:rFonts w:asciiTheme="majorBidi" w:hAnsiTheme="majorBidi" w:cstheme="majorBidi"/>
          <w:color w:val="212529"/>
        </w:rPr>
        <w:t>, 2017 QCCQ 160</w:t>
      </w:r>
    </w:p>
    <w:p w14:paraId="204D8094" w14:textId="77777777" w:rsidR="00996F13" w:rsidRPr="000B7C44" w:rsidRDefault="00996F13" w:rsidP="00996F13">
      <w:pPr>
        <w:spacing w:before="120" w:after="120"/>
        <w:jc w:val="both"/>
        <w:rPr>
          <w:rFonts w:asciiTheme="majorBidi" w:hAnsiTheme="majorBidi" w:cstheme="majorBidi"/>
          <w:i/>
          <w:iCs/>
          <w:color w:val="212529"/>
        </w:rPr>
      </w:pPr>
      <w:r w:rsidRPr="000B7C44">
        <w:rPr>
          <w:rFonts w:asciiTheme="majorBidi" w:hAnsiTheme="majorBidi" w:cstheme="majorBidi"/>
          <w:color w:val="000000" w:themeColor="text1"/>
        </w:rPr>
        <w:t xml:space="preserve">[23] </w:t>
      </w:r>
      <w:r w:rsidRPr="000B7C44">
        <w:rPr>
          <w:rFonts w:asciiTheme="majorBidi" w:hAnsiTheme="majorBidi" w:cstheme="majorBidi"/>
          <w:color w:val="000000" w:themeColor="text1"/>
        </w:rPr>
        <w:tab/>
      </w:r>
      <w:r w:rsidRPr="000B7C44">
        <w:rPr>
          <w:rFonts w:asciiTheme="majorBidi" w:hAnsiTheme="majorBidi" w:cstheme="majorBidi"/>
          <w:i/>
          <w:iCs/>
        </w:rPr>
        <w:t>R. v. Carson</w:t>
      </w:r>
      <w:r w:rsidRPr="000B7C44">
        <w:rPr>
          <w:rFonts w:asciiTheme="majorBidi" w:hAnsiTheme="majorBidi" w:cstheme="majorBidi"/>
        </w:rPr>
        <w:t>, [2018] 1 S.C.R. 269</w:t>
      </w:r>
    </w:p>
    <w:p w14:paraId="584A81D6" w14:textId="77777777" w:rsidR="00996F13" w:rsidRPr="000B7C44" w:rsidRDefault="00996F13" w:rsidP="00996F13">
      <w:pPr>
        <w:spacing w:before="120" w:after="120"/>
        <w:ind w:left="720" w:hanging="720"/>
        <w:jc w:val="both"/>
        <w:rPr>
          <w:rFonts w:asciiTheme="majorBidi" w:hAnsiTheme="majorBidi" w:cstheme="majorBidi"/>
          <w:iCs/>
          <w:color w:val="000000" w:themeColor="text1"/>
        </w:rPr>
      </w:pPr>
      <w:r w:rsidRPr="000B7C44">
        <w:rPr>
          <w:rFonts w:asciiTheme="majorBidi" w:hAnsiTheme="majorBidi" w:cstheme="majorBidi"/>
          <w:color w:val="000000" w:themeColor="text1"/>
        </w:rPr>
        <w:t>[24]</w:t>
      </w:r>
      <w:r w:rsidRPr="000B7C44">
        <w:rPr>
          <w:rFonts w:asciiTheme="majorBidi" w:hAnsiTheme="majorBidi" w:cstheme="majorBidi"/>
          <w:color w:val="000000" w:themeColor="text1"/>
        </w:rPr>
        <w:tab/>
      </w:r>
      <w:r w:rsidRPr="000B7C44">
        <w:rPr>
          <w:rFonts w:asciiTheme="majorBidi" w:hAnsiTheme="majorBidi" w:cstheme="majorBidi"/>
          <w:i/>
          <w:iCs/>
          <w:color w:val="212529"/>
        </w:rPr>
        <w:t>R. v. Cogger</w:t>
      </w:r>
      <w:r w:rsidRPr="000B7C44">
        <w:rPr>
          <w:rFonts w:asciiTheme="majorBidi" w:hAnsiTheme="majorBidi" w:cstheme="majorBidi"/>
          <w:color w:val="212529"/>
        </w:rPr>
        <w:t>, [1997] 2 S.C.R. 845</w:t>
      </w:r>
    </w:p>
    <w:p w14:paraId="3D63C0F0" w14:textId="77777777" w:rsidR="00996F13" w:rsidRPr="0053359A" w:rsidRDefault="00996F13" w:rsidP="00996F13">
      <w:pPr>
        <w:spacing w:before="120" w:after="120"/>
        <w:jc w:val="both"/>
        <w:rPr>
          <w:rFonts w:asciiTheme="majorBidi" w:hAnsiTheme="majorBidi" w:cstheme="majorBidi"/>
          <w:bCs/>
          <w:color w:val="000000" w:themeColor="text1"/>
        </w:rPr>
      </w:pPr>
      <w:r w:rsidRPr="00F752EB">
        <w:rPr>
          <w:rFonts w:asciiTheme="majorBidi" w:hAnsiTheme="majorBidi" w:cstheme="majorBidi"/>
          <w:color w:val="000000" w:themeColor="text1"/>
        </w:rPr>
        <w:t>[25]</w:t>
      </w:r>
      <w:r w:rsidRPr="00F752EB">
        <w:rPr>
          <w:rFonts w:asciiTheme="majorBidi" w:hAnsiTheme="majorBidi" w:cstheme="majorBidi"/>
          <w:color w:val="000000" w:themeColor="text1"/>
        </w:rPr>
        <w:tab/>
      </w:r>
      <w:r w:rsidRPr="00C033BC">
        <w:rPr>
          <w:rFonts w:asciiTheme="majorBidi" w:hAnsiTheme="majorBidi" w:cstheme="majorBidi"/>
          <w:bCs/>
          <w:i/>
          <w:iCs/>
          <w:color w:val="000000" w:themeColor="text1"/>
        </w:rPr>
        <w:t>R. v. Hinchey</w:t>
      </w:r>
      <w:r w:rsidRPr="00C033BC">
        <w:rPr>
          <w:rFonts w:asciiTheme="majorBidi" w:hAnsiTheme="majorBidi" w:cstheme="majorBidi"/>
          <w:bCs/>
          <w:color w:val="000000" w:themeColor="text1"/>
        </w:rPr>
        <w:t>, [1996] 3 S.C.R. 1128</w:t>
      </w:r>
    </w:p>
    <w:p w14:paraId="36ED9AFE" w14:textId="77777777" w:rsidR="00996F13" w:rsidRPr="000B7C44" w:rsidRDefault="00996F13" w:rsidP="00996F13">
      <w:pPr>
        <w:spacing w:before="120" w:after="120"/>
        <w:ind w:left="720" w:hanging="720"/>
        <w:jc w:val="both"/>
        <w:rPr>
          <w:rFonts w:asciiTheme="majorBidi" w:hAnsiTheme="majorBidi" w:cstheme="majorBidi"/>
          <w:color w:val="000000" w:themeColor="text1"/>
          <w:lang w:val="sv-SE"/>
        </w:rPr>
      </w:pPr>
      <w:r w:rsidRPr="000B7C44">
        <w:rPr>
          <w:rFonts w:asciiTheme="majorBidi" w:hAnsiTheme="majorBidi" w:cstheme="majorBidi"/>
          <w:color w:val="000000" w:themeColor="text1"/>
          <w:lang w:val="sv-SE"/>
        </w:rPr>
        <w:t>[26]</w:t>
      </w:r>
      <w:r w:rsidRPr="000B7C44">
        <w:rPr>
          <w:rFonts w:asciiTheme="majorBidi" w:hAnsiTheme="majorBidi" w:cstheme="majorBidi"/>
          <w:color w:val="000000" w:themeColor="text1"/>
          <w:lang w:val="sv-SE"/>
        </w:rPr>
        <w:tab/>
      </w:r>
      <w:r w:rsidRPr="000B7C44">
        <w:rPr>
          <w:rFonts w:asciiTheme="majorBidi" w:hAnsiTheme="majorBidi" w:cstheme="majorBidi"/>
          <w:i/>
          <w:iCs/>
          <w:color w:val="212529"/>
          <w:lang w:val="sv-SE"/>
        </w:rPr>
        <w:t>R. v. Karigar,</w:t>
      </w:r>
      <w:r w:rsidRPr="000B7C44">
        <w:rPr>
          <w:rFonts w:asciiTheme="majorBidi" w:hAnsiTheme="majorBidi" w:cstheme="majorBidi"/>
          <w:color w:val="212529"/>
          <w:lang w:val="sv-SE"/>
        </w:rPr>
        <w:t xml:space="preserve"> 2014 ONSC 3093</w:t>
      </w:r>
    </w:p>
    <w:p w14:paraId="545FDA03" w14:textId="77777777" w:rsidR="00996F13" w:rsidRPr="000B7C44" w:rsidRDefault="00996F13" w:rsidP="00996F13">
      <w:pPr>
        <w:spacing w:before="120" w:after="120"/>
        <w:jc w:val="both"/>
        <w:rPr>
          <w:rFonts w:asciiTheme="majorBidi" w:hAnsiTheme="majorBidi" w:cstheme="majorBidi"/>
          <w:color w:val="212529"/>
          <w:lang w:val="sv-SE"/>
        </w:rPr>
      </w:pPr>
      <w:r w:rsidRPr="000B7C44">
        <w:rPr>
          <w:rFonts w:asciiTheme="majorBidi" w:hAnsiTheme="majorBidi" w:cstheme="majorBidi"/>
          <w:color w:val="212529"/>
          <w:lang w:val="sv-SE"/>
        </w:rPr>
        <w:t>[27]</w:t>
      </w:r>
      <w:r w:rsidRPr="000B7C44">
        <w:rPr>
          <w:rFonts w:asciiTheme="majorBidi" w:hAnsiTheme="majorBidi" w:cstheme="majorBidi"/>
          <w:color w:val="212529"/>
          <w:lang w:val="sv-SE"/>
        </w:rPr>
        <w:tab/>
      </w:r>
      <w:r w:rsidRPr="000B7C44">
        <w:rPr>
          <w:rFonts w:asciiTheme="majorBidi" w:hAnsiTheme="majorBidi" w:cstheme="majorBidi"/>
          <w:i/>
          <w:iCs/>
          <w:color w:val="212529"/>
          <w:lang w:val="sv-SE"/>
        </w:rPr>
        <w:t>R. v. Olan et al.</w:t>
      </w:r>
      <w:r w:rsidRPr="000B7C44">
        <w:rPr>
          <w:rFonts w:asciiTheme="majorBidi" w:hAnsiTheme="majorBidi" w:cstheme="majorBidi"/>
          <w:color w:val="212529"/>
          <w:lang w:val="sv-SE"/>
        </w:rPr>
        <w:t>, [1978] 2 S.C.R. 1175</w:t>
      </w:r>
    </w:p>
    <w:p w14:paraId="7C3B99D3" w14:textId="77777777" w:rsidR="00996F13" w:rsidRPr="00996F13" w:rsidRDefault="00996F13" w:rsidP="00996F13">
      <w:pPr>
        <w:spacing w:before="120" w:after="120"/>
        <w:ind w:left="720" w:hanging="720"/>
        <w:jc w:val="both"/>
        <w:rPr>
          <w:rFonts w:asciiTheme="majorBidi" w:hAnsiTheme="majorBidi" w:cstheme="majorBidi"/>
          <w:color w:val="212529"/>
          <w:lang w:val="fr-FR"/>
        </w:rPr>
      </w:pPr>
      <w:r w:rsidRPr="00996F13">
        <w:rPr>
          <w:rFonts w:asciiTheme="majorBidi" w:hAnsiTheme="majorBidi" w:cstheme="majorBidi"/>
          <w:color w:val="000000" w:themeColor="text1"/>
          <w:lang w:val="fr-FR"/>
        </w:rPr>
        <w:t>[28]</w:t>
      </w:r>
      <w:r w:rsidRPr="00996F13">
        <w:rPr>
          <w:rFonts w:asciiTheme="majorBidi" w:hAnsiTheme="majorBidi" w:cstheme="majorBidi"/>
          <w:color w:val="000000" w:themeColor="text1"/>
          <w:lang w:val="fr-FR"/>
        </w:rPr>
        <w:tab/>
      </w:r>
      <w:r w:rsidRPr="00996F13">
        <w:rPr>
          <w:rFonts w:asciiTheme="majorBidi" w:hAnsiTheme="majorBidi" w:cstheme="majorBidi"/>
          <w:i/>
          <w:iCs/>
          <w:color w:val="000000" w:themeColor="text1"/>
          <w:lang w:val="fr-FR"/>
        </w:rPr>
        <w:t>R. c. Pétroles Global inc.</w:t>
      </w:r>
      <w:r w:rsidRPr="00996F13">
        <w:rPr>
          <w:rFonts w:asciiTheme="majorBidi" w:hAnsiTheme="majorBidi" w:cstheme="majorBidi"/>
          <w:color w:val="000000" w:themeColor="text1"/>
          <w:lang w:val="fr-FR"/>
        </w:rPr>
        <w:t>, 2013 QCCS 4262</w:t>
      </w:r>
    </w:p>
    <w:p w14:paraId="158933B5" w14:textId="77777777" w:rsidR="00996F13" w:rsidRPr="0085240F" w:rsidRDefault="00996F13" w:rsidP="00996F13">
      <w:pPr>
        <w:spacing w:before="120" w:after="120"/>
        <w:jc w:val="both"/>
        <w:rPr>
          <w:rFonts w:asciiTheme="majorBidi" w:hAnsiTheme="majorBidi" w:cstheme="majorBidi"/>
          <w:i/>
          <w:iCs/>
          <w:color w:val="212529"/>
          <w:lang w:val="nb-NO"/>
        </w:rPr>
      </w:pPr>
      <w:r w:rsidRPr="00F752EB">
        <w:rPr>
          <w:rFonts w:asciiTheme="majorBidi" w:hAnsiTheme="majorBidi" w:cstheme="majorBidi"/>
          <w:color w:val="000000" w:themeColor="text1"/>
          <w:lang w:val="nb-NO"/>
        </w:rPr>
        <w:t>[29]</w:t>
      </w:r>
      <w:r w:rsidRPr="00F752EB">
        <w:rPr>
          <w:rFonts w:asciiTheme="majorBidi" w:hAnsiTheme="majorBidi" w:cstheme="majorBidi"/>
          <w:color w:val="000000" w:themeColor="text1"/>
          <w:lang w:val="nb-NO"/>
        </w:rPr>
        <w:tab/>
      </w:r>
      <w:r w:rsidRPr="0085240F">
        <w:rPr>
          <w:rFonts w:asciiTheme="majorBidi" w:hAnsiTheme="majorBidi" w:cstheme="majorBidi"/>
          <w:i/>
          <w:iCs/>
          <w:color w:val="000000" w:themeColor="text1"/>
          <w:lang w:val="nb-NO"/>
        </w:rPr>
        <w:t>R. v. Rosenblum</w:t>
      </w:r>
      <w:r w:rsidRPr="0085240F">
        <w:rPr>
          <w:rFonts w:asciiTheme="majorBidi" w:hAnsiTheme="majorBidi" w:cstheme="majorBidi"/>
          <w:color w:val="000000" w:themeColor="text1"/>
          <w:lang w:val="nb-NO"/>
        </w:rPr>
        <w:t>, 1998 CanLII 4920 (BC CA)</w:t>
      </w:r>
    </w:p>
    <w:p w14:paraId="4B916A90" w14:textId="77777777" w:rsidR="00996F13" w:rsidRDefault="00996F13" w:rsidP="00996F13">
      <w:pPr>
        <w:spacing w:before="120" w:after="120"/>
        <w:jc w:val="both"/>
        <w:rPr>
          <w:rFonts w:asciiTheme="majorBidi" w:hAnsiTheme="majorBidi" w:cstheme="majorBidi"/>
          <w:color w:val="212529"/>
          <w:lang w:val="nb-NO"/>
        </w:rPr>
      </w:pPr>
      <w:r w:rsidRPr="000B7C44">
        <w:rPr>
          <w:rFonts w:asciiTheme="majorBidi" w:hAnsiTheme="majorBidi" w:cstheme="majorBidi"/>
          <w:color w:val="212529"/>
          <w:lang w:val="nb-NO"/>
        </w:rPr>
        <w:t>[30]</w:t>
      </w:r>
      <w:r w:rsidRPr="000B7C44">
        <w:rPr>
          <w:rFonts w:asciiTheme="majorBidi" w:hAnsiTheme="majorBidi" w:cstheme="majorBidi"/>
          <w:color w:val="212529"/>
          <w:lang w:val="nb-NO"/>
        </w:rPr>
        <w:tab/>
      </w:r>
      <w:r w:rsidRPr="000B7C44">
        <w:rPr>
          <w:rFonts w:asciiTheme="majorBidi" w:hAnsiTheme="majorBidi" w:cstheme="majorBidi"/>
          <w:i/>
          <w:iCs/>
          <w:color w:val="212529"/>
          <w:lang w:val="nb-NO"/>
        </w:rPr>
        <w:t>R. v. Riesberry</w:t>
      </w:r>
      <w:r w:rsidRPr="000B7C44">
        <w:rPr>
          <w:rFonts w:asciiTheme="majorBidi" w:hAnsiTheme="majorBidi" w:cstheme="majorBidi"/>
          <w:color w:val="212529"/>
          <w:lang w:val="nb-NO"/>
        </w:rPr>
        <w:t>, [2015] 3 S.C.R. 1167</w:t>
      </w:r>
    </w:p>
    <w:p w14:paraId="24B1FEEA" w14:textId="77777777" w:rsidR="00996F13" w:rsidRPr="00992874" w:rsidRDefault="00996F13" w:rsidP="00996F13">
      <w:pPr>
        <w:spacing w:before="120" w:after="120"/>
        <w:jc w:val="both"/>
        <w:rPr>
          <w:rFonts w:asciiTheme="majorBidi" w:hAnsiTheme="majorBidi" w:cstheme="majorBidi"/>
          <w:color w:val="212529"/>
          <w:lang w:val="nb-NO"/>
        </w:rPr>
      </w:pPr>
      <w:r w:rsidRPr="00992874">
        <w:rPr>
          <w:lang w:val="nb-NO"/>
        </w:rPr>
        <w:t>[31]</w:t>
      </w:r>
      <w:r w:rsidRPr="00992874">
        <w:rPr>
          <w:lang w:val="nb-NO"/>
        </w:rPr>
        <w:tab/>
      </w:r>
      <w:r w:rsidRPr="00992874">
        <w:rPr>
          <w:i/>
          <w:iCs/>
          <w:lang w:val="nb-NO"/>
        </w:rPr>
        <w:t>R. v. Rhee</w:t>
      </w:r>
      <w:r w:rsidRPr="00992874">
        <w:rPr>
          <w:lang w:val="nb-NO"/>
        </w:rPr>
        <w:t>, [2001] 3 S.C.R. 364</w:t>
      </w:r>
    </w:p>
    <w:p w14:paraId="5B8D205C" w14:textId="77777777" w:rsidR="00996F13" w:rsidRPr="00996F13" w:rsidRDefault="00996F13" w:rsidP="00996F13">
      <w:pPr>
        <w:spacing w:before="120" w:after="120"/>
        <w:jc w:val="both"/>
        <w:rPr>
          <w:rFonts w:asciiTheme="majorBidi" w:hAnsiTheme="majorBidi" w:cstheme="majorBidi"/>
          <w:i/>
          <w:iCs/>
          <w:color w:val="000000" w:themeColor="text1"/>
          <w:spacing w:val="-3"/>
          <w:shd w:val="clear" w:color="auto" w:fill="FFFFFF"/>
          <w:lang w:val="fr-FR"/>
        </w:rPr>
      </w:pPr>
      <w:r w:rsidRPr="00996F13">
        <w:rPr>
          <w:rFonts w:asciiTheme="majorBidi" w:hAnsiTheme="majorBidi" w:cstheme="majorBidi"/>
          <w:color w:val="000000" w:themeColor="text1"/>
          <w:lang w:val="fr-FR"/>
        </w:rPr>
        <w:t>[32]</w:t>
      </w:r>
      <w:r w:rsidRPr="00996F13">
        <w:rPr>
          <w:rFonts w:asciiTheme="majorBidi" w:hAnsiTheme="majorBidi" w:cstheme="majorBidi"/>
          <w:color w:val="000000" w:themeColor="text1"/>
          <w:lang w:val="fr-FR"/>
        </w:rPr>
        <w:tab/>
      </w:r>
      <w:r w:rsidRPr="00996F13">
        <w:rPr>
          <w:rFonts w:asciiTheme="majorBidi" w:hAnsiTheme="majorBidi" w:cstheme="majorBidi"/>
          <w:i/>
          <w:iCs/>
          <w:color w:val="000000" w:themeColor="text1"/>
          <w:lang w:val="fr-FR"/>
        </w:rPr>
        <w:t>R. c. SNC-Lavalin international inc.</w:t>
      </w:r>
      <w:r w:rsidRPr="00996F13">
        <w:rPr>
          <w:rFonts w:asciiTheme="majorBidi" w:hAnsiTheme="majorBidi" w:cstheme="majorBidi"/>
          <w:color w:val="000000" w:themeColor="text1"/>
          <w:lang w:val="fr-FR"/>
        </w:rPr>
        <w:t>, 2019 QCCQ 7778</w:t>
      </w:r>
    </w:p>
    <w:p w14:paraId="501F62F4" w14:textId="77777777" w:rsidR="00996F13" w:rsidRPr="00996F13" w:rsidRDefault="00996F13" w:rsidP="00996F13">
      <w:pPr>
        <w:spacing w:before="120" w:after="120"/>
        <w:jc w:val="both"/>
        <w:rPr>
          <w:rFonts w:asciiTheme="majorBidi" w:hAnsiTheme="majorBidi" w:cstheme="majorBidi"/>
          <w:color w:val="212529"/>
          <w:lang w:val="fr-FR"/>
        </w:rPr>
      </w:pPr>
      <w:r w:rsidRPr="00996F13">
        <w:rPr>
          <w:rFonts w:asciiTheme="majorBidi" w:hAnsiTheme="majorBidi" w:cstheme="majorBidi"/>
          <w:color w:val="212529"/>
          <w:lang w:val="fr-FR"/>
        </w:rPr>
        <w:lastRenderedPageBreak/>
        <w:t>[33]</w:t>
      </w:r>
      <w:r w:rsidRPr="00996F13">
        <w:rPr>
          <w:rFonts w:asciiTheme="majorBidi" w:hAnsiTheme="majorBidi" w:cstheme="majorBidi"/>
          <w:color w:val="212529"/>
          <w:lang w:val="fr-FR"/>
        </w:rPr>
        <w:tab/>
      </w:r>
      <w:r w:rsidRPr="00996F13">
        <w:rPr>
          <w:rFonts w:asciiTheme="majorBidi" w:hAnsiTheme="majorBidi" w:cstheme="majorBidi"/>
          <w:i/>
          <w:iCs/>
          <w:color w:val="212529"/>
          <w:lang w:val="fr-FR"/>
        </w:rPr>
        <w:t>R. v. Théroux</w:t>
      </w:r>
      <w:r w:rsidRPr="00996F13">
        <w:rPr>
          <w:rFonts w:asciiTheme="majorBidi" w:hAnsiTheme="majorBidi" w:cstheme="majorBidi"/>
          <w:color w:val="212529"/>
          <w:lang w:val="fr-FR"/>
        </w:rPr>
        <w:t>, [1993] 2 S.C.R. 5</w:t>
      </w:r>
    </w:p>
    <w:p w14:paraId="5F241C4E" w14:textId="77777777" w:rsidR="00996F13" w:rsidRPr="005F5941" w:rsidRDefault="00996F13" w:rsidP="00996F13">
      <w:pPr>
        <w:spacing w:before="120" w:after="120"/>
        <w:jc w:val="both"/>
        <w:rPr>
          <w:rFonts w:asciiTheme="majorBidi" w:hAnsiTheme="majorBidi" w:cstheme="majorBidi"/>
          <w:i/>
          <w:iCs/>
          <w:color w:val="212529"/>
        </w:rPr>
      </w:pPr>
      <w:r>
        <w:t>[34</w:t>
      </w:r>
      <w:r w:rsidRPr="005F5941">
        <w:t>]</w:t>
      </w:r>
      <w:r w:rsidRPr="005F5941">
        <w:tab/>
      </w:r>
      <w:r w:rsidRPr="005F5941">
        <w:rPr>
          <w:i/>
          <w:iCs/>
        </w:rPr>
        <w:t>R. v. Trac</w:t>
      </w:r>
      <w:r w:rsidRPr="005F5941">
        <w:t>, 2013 ONCA 246</w:t>
      </w:r>
    </w:p>
    <w:p w14:paraId="075ECB3C" w14:textId="77777777" w:rsidR="00996F13" w:rsidRPr="00F752EB" w:rsidRDefault="00996F13" w:rsidP="00996F13">
      <w:pPr>
        <w:spacing w:before="120" w:after="120"/>
        <w:jc w:val="both"/>
        <w:rPr>
          <w:rFonts w:asciiTheme="majorBidi" w:hAnsiTheme="majorBidi" w:cstheme="majorBidi"/>
          <w:color w:val="212529"/>
        </w:rPr>
      </w:pPr>
      <w:r>
        <w:rPr>
          <w:rFonts w:asciiTheme="majorBidi" w:hAnsiTheme="majorBidi" w:cstheme="majorBidi"/>
          <w:color w:val="212529"/>
        </w:rPr>
        <w:t>[35</w:t>
      </w:r>
      <w:r w:rsidRPr="00977342">
        <w:rPr>
          <w:rFonts w:asciiTheme="majorBidi" w:hAnsiTheme="majorBidi" w:cstheme="majorBidi"/>
          <w:color w:val="212529"/>
        </w:rPr>
        <w:t>]</w:t>
      </w:r>
      <w:r w:rsidRPr="00977342">
        <w:rPr>
          <w:rFonts w:asciiTheme="majorBidi" w:hAnsiTheme="majorBidi" w:cstheme="majorBidi"/>
          <w:color w:val="212529"/>
        </w:rPr>
        <w:tab/>
      </w:r>
      <w:r w:rsidRPr="00F752EB">
        <w:rPr>
          <w:rFonts w:asciiTheme="majorBidi" w:hAnsiTheme="majorBidi" w:cstheme="majorBidi"/>
          <w:i/>
          <w:iCs/>
          <w:color w:val="212529"/>
        </w:rPr>
        <w:t>R. v. Zlatic</w:t>
      </w:r>
      <w:r w:rsidRPr="00F752EB">
        <w:rPr>
          <w:rFonts w:asciiTheme="majorBidi" w:hAnsiTheme="majorBidi" w:cstheme="majorBidi"/>
          <w:color w:val="212529"/>
        </w:rPr>
        <w:t>, [1993] 2 S</w:t>
      </w:r>
      <w:r>
        <w:rPr>
          <w:rFonts w:asciiTheme="majorBidi" w:hAnsiTheme="majorBidi" w:cstheme="majorBidi"/>
          <w:color w:val="212529"/>
        </w:rPr>
        <w:t>.</w:t>
      </w:r>
      <w:r w:rsidRPr="00F752EB">
        <w:rPr>
          <w:rFonts w:asciiTheme="majorBidi" w:hAnsiTheme="majorBidi" w:cstheme="majorBidi"/>
          <w:color w:val="212529"/>
        </w:rPr>
        <w:t>C</w:t>
      </w:r>
      <w:r>
        <w:rPr>
          <w:rFonts w:asciiTheme="majorBidi" w:hAnsiTheme="majorBidi" w:cstheme="majorBidi"/>
          <w:color w:val="212529"/>
        </w:rPr>
        <w:t>.</w:t>
      </w:r>
      <w:r w:rsidRPr="00F752EB">
        <w:rPr>
          <w:rFonts w:asciiTheme="majorBidi" w:hAnsiTheme="majorBidi" w:cstheme="majorBidi"/>
          <w:color w:val="212529"/>
        </w:rPr>
        <w:t>R</w:t>
      </w:r>
      <w:r>
        <w:rPr>
          <w:rFonts w:asciiTheme="majorBidi" w:hAnsiTheme="majorBidi" w:cstheme="majorBidi"/>
          <w:color w:val="212529"/>
        </w:rPr>
        <w:t>.</w:t>
      </w:r>
      <w:r w:rsidRPr="00F752EB">
        <w:rPr>
          <w:rFonts w:asciiTheme="majorBidi" w:hAnsiTheme="majorBidi" w:cstheme="majorBidi"/>
          <w:color w:val="212529"/>
        </w:rPr>
        <w:t xml:space="preserve"> 29</w:t>
      </w:r>
    </w:p>
    <w:p w14:paraId="06D91675" w14:textId="1A9F8B20" w:rsidR="00996F13" w:rsidRDefault="00996F13" w:rsidP="00996F13">
      <w:pPr>
        <w:jc w:val="both"/>
        <w:rPr>
          <w:rFonts w:asciiTheme="majorBidi" w:hAnsiTheme="majorBidi" w:cstheme="majorBidi"/>
          <w:color w:val="212529"/>
        </w:rPr>
      </w:pPr>
      <w:r>
        <w:rPr>
          <w:rFonts w:asciiTheme="majorBidi" w:hAnsiTheme="majorBidi" w:cstheme="majorBidi"/>
          <w:color w:val="212529"/>
        </w:rPr>
        <w:t>[36]</w:t>
      </w:r>
      <w:r>
        <w:rPr>
          <w:rFonts w:asciiTheme="majorBidi" w:hAnsiTheme="majorBidi" w:cstheme="majorBidi"/>
          <w:color w:val="212529"/>
        </w:rPr>
        <w:tab/>
      </w:r>
      <w:r w:rsidRPr="00EB54C4">
        <w:rPr>
          <w:rFonts w:asciiTheme="majorBidi" w:hAnsiTheme="majorBidi" w:cstheme="majorBidi"/>
          <w:i/>
          <w:iCs/>
          <w:color w:val="212529"/>
        </w:rPr>
        <w:t>Sellathurai v. Canada (Minister of Public Safety and Emergency Preparedness)</w:t>
      </w:r>
      <w:r>
        <w:rPr>
          <w:rFonts w:asciiTheme="majorBidi" w:hAnsiTheme="majorBidi" w:cstheme="majorBidi"/>
          <w:color w:val="212529"/>
        </w:rPr>
        <w:t>,</w:t>
      </w:r>
      <w:r w:rsidRPr="0085240F">
        <w:rPr>
          <w:rFonts w:asciiTheme="majorBidi" w:hAnsiTheme="majorBidi" w:cstheme="majorBidi"/>
          <w:color w:val="212529"/>
        </w:rPr>
        <w:t xml:space="preserve"> [2009] 2 FCR 576</w:t>
      </w:r>
    </w:p>
    <w:p w14:paraId="75A9195F" w14:textId="0A4DF874" w:rsidR="00996F13" w:rsidRPr="00464B7A" w:rsidRDefault="00996F13" w:rsidP="00996F13">
      <w:pPr>
        <w:jc w:val="both"/>
        <w:rPr>
          <w:rFonts w:asciiTheme="majorBidi" w:hAnsiTheme="majorBidi" w:cstheme="majorBidi"/>
          <w:b/>
          <w:bCs/>
          <w:color w:val="212529"/>
        </w:rPr>
      </w:pPr>
      <w:r w:rsidRPr="00464B7A">
        <w:rPr>
          <w:rFonts w:asciiTheme="majorBidi" w:hAnsiTheme="majorBidi" w:cstheme="majorBidi"/>
          <w:b/>
          <w:bCs/>
          <w:color w:val="212529"/>
        </w:rPr>
        <w:t>Tư liệu pháp lý</w:t>
      </w:r>
    </w:p>
    <w:p w14:paraId="27C015E3" w14:textId="77777777" w:rsidR="00996F13" w:rsidRPr="00F752EB" w:rsidRDefault="00996F13" w:rsidP="00996F13">
      <w:pPr>
        <w:spacing w:before="120" w:after="120"/>
        <w:ind w:left="720" w:hanging="720"/>
        <w:jc w:val="both"/>
        <w:rPr>
          <w:rFonts w:asciiTheme="majorBidi" w:hAnsiTheme="majorBidi" w:cstheme="majorBidi"/>
          <w:iCs/>
          <w:color w:val="000000" w:themeColor="text1"/>
        </w:rPr>
      </w:pPr>
      <w:r>
        <w:rPr>
          <w:rFonts w:asciiTheme="majorBidi" w:hAnsiTheme="majorBidi" w:cstheme="majorBidi"/>
          <w:color w:val="000000" w:themeColor="text1"/>
        </w:rPr>
        <w:t>[37</w:t>
      </w:r>
      <w:r w:rsidRPr="004560B4">
        <w:rPr>
          <w:rFonts w:asciiTheme="majorBidi" w:hAnsiTheme="majorBidi" w:cstheme="majorBidi"/>
          <w:color w:val="000000" w:themeColor="text1"/>
        </w:rPr>
        <w:t xml:space="preserve">] </w:t>
      </w:r>
      <w:r w:rsidRPr="004560B4">
        <w:rPr>
          <w:rFonts w:asciiTheme="majorBidi" w:hAnsiTheme="majorBidi" w:cstheme="majorBidi"/>
          <w:color w:val="000000" w:themeColor="text1"/>
        </w:rPr>
        <w:tab/>
      </w:r>
      <w:r w:rsidRPr="0085240F">
        <w:rPr>
          <w:rFonts w:asciiTheme="majorBidi" w:hAnsiTheme="majorBidi" w:cstheme="majorBidi"/>
          <w:bCs/>
          <w:i/>
          <w:iCs/>
          <w:color w:val="212529"/>
        </w:rPr>
        <w:t>An Act to amend the Criminal Code in order to implement the United Nations Convention against Corruption</w:t>
      </w:r>
      <w:r w:rsidRPr="0085240F">
        <w:rPr>
          <w:rFonts w:asciiTheme="majorBidi" w:hAnsiTheme="majorBidi" w:cstheme="majorBidi"/>
          <w:bCs/>
          <w:color w:val="212529"/>
        </w:rPr>
        <w:t>, S.C. 2007, c. 13.</w:t>
      </w:r>
    </w:p>
    <w:p w14:paraId="0F1460D0" w14:textId="77777777" w:rsidR="00996F13" w:rsidRPr="00F752EB" w:rsidRDefault="00996F13" w:rsidP="00996F13">
      <w:pPr>
        <w:pStyle w:val="FootnoteText"/>
        <w:spacing w:before="120" w:after="120"/>
        <w:jc w:val="both"/>
        <w:rPr>
          <w:rFonts w:asciiTheme="majorBidi" w:hAnsiTheme="majorBidi" w:cstheme="majorBidi"/>
          <w:color w:val="000000" w:themeColor="text1"/>
          <w:sz w:val="24"/>
          <w:szCs w:val="24"/>
          <w:lang w:val="en-CA"/>
        </w:rPr>
      </w:pPr>
      <w:r>
        <w:rPr>
          <w:sz w:val="24"/>
          <w:szCs w:val="24"/>
        </w:rPr>
        <w:t>[38]</w:t>
      </w:r>
      <w:r>
        <w:rPr>
          <w:sz w:val="24"/>
          <w:szCs w:val="24"/>
        </w:rPr>
        <w:tab/>
      </w:r>
      <w:r>
        <w:rPr>
          <w:i/>
          <w:iCs/>
          <w:sz w:val="24"/>
          <w:szCs w:val="24"/>
        </w:rPr>
        <w:t>Conflict of Interest</w:t>
      </w:r>
      <w:r w:rsidRPr="00C07BD8">
        <w:rPr>
          <w:i/>
          <w:iCs/>
          <w:sz w:val="24"/>
          <w:szCs w:val="24"/>
        </w:rPr>
        <w:t xml:space="preserve"> Act</w:t>
      </w:r>
      <w:r w:rsidRPr="00C07BD8">
        <w:rPr>
          <w:sz w:val="24"/>
          <w:szCs w:val="24"/>
        </w:rPr>
        <w:t xml:space="preserve">, </w:t>
      </w:r>
      <w:r w:rsidRPr="00C07BD8">
        <w:rPr>
          <w:rFonts w:asciiTheme="majorBidi" w:hAnsiTheme="majorBidi" w:cstheme="majorBidi"/>
          <w:color w:val="000000" w:themeColor="text1"/>
          <w:sz w:val="24"/>
          <w:szCs w:val="24"/>
          <w:lang w:val="en-CA"/>
        </w:rPr>
        <w:t xml:space="preserve">S.C. 2006, c. 9, s. 2. </w:t>
      </w:r>
    </w:p>
    <w:p w14:paraId="1BD2B9A5" w14:textId="77777777" w:rsidR="00996F13" w:rsidRDefault="00996F13" w:rsidP="00996F13">
      <w:pPr>
        <w:spacing w:before="120" w:after="120"/>
        <w:ind w:left="720" w:hanging="720"/>
        <w:jc w:val="both"/>
        <w:rPr>
          <w:rFonts w:asciiTheme="majorBidi" w:hAnsiTheme="majorBidi" w:cstheme="majorBidi"/>
          <w:color w:val="000000" w:themeColor="text1"/>
        </w:rPr>
      </w:pPr>
      <w:r>
        <w:rPr>
          <w:rFonts w:asciiTheme="majorBidi" w:hAnsiTheme="majorBidi" w:cstheme="majorBidi"/>
          <w:color w:val="000000" w:themeColor="text1"/>
        </w:rPr>
        <w:t>[39]</w:t>
      </w:r>
      <w:r>
        <w:rPr>
          <w:rFonts w:asciiTheme="majorBidi" w:hAnsiTheme="majorBidi" w:cstheme="majorBidi"/>
          <w:color w:val="000000" w:themeColor="text1"/>
        </w:rPr>
        <w:tab/>
      </w:r>
      <w:r w:rsidRPr="00C033BC">
        <w:rPr>
          <w:rFonts w:asciiTheme="majorBidi" w:hAnsiTheme="majorBidi" w:cstheme="majorBidi"/>
          <w:i/>
          <w:iCs/>
          <w:color w:val="000000" w:themeColor="text1"/>
        </w:rPr>
        <w:t>Corruption of Foreign Public Officials Act</w:t>
      </w:r>
      <w:r w:rsidRPr="00C033BC">
        <w:rPr>
          <w:rFonts w:asciiTheme="majorBidi" w:hAnsiTheme="majorBidi" w:cstheme="majorBidi"/>
          <w:color w:val="000000" w:themeColor="text1"/>
        </w:rPr>
        <w:t>, S.C. 1998, c. 34.</w:t>
      </w:r>
    </w:p>
    <w:p w14:paraId="7E28BD9D" w14:textId="77777777" w:rsidR="00996F13" w:rsidRPr="00F752EB" w:rsidRDefault="00996F13" w:rsidP="00996F13">
      <w:pPr>
        <w:spacing w:before="120" w:after="120"/>
        <w:ind w:left="720" w:hanging="720"/>
        <w:jc w:val="both"/>
        <w:rPr>
          <w:rFonts w:asciiTheme="majorBidi" w:hAnsiTheme="majorBidi" w:cstheme="majorBidi"/>
          <w:color w:val="000000" w:themeColor="text1"/>
        </w:rPr>
      </w:pPr>
      <w:r>
        <w:rPr>
          <w:rFonts w:asciiTheme="majorBidi" w:hAnsiTheme="majorBidi" w:cstheme="majorBidi"/>
          <w:color w:val="000000" w:themeColor="text1"/>
          <w:shd w:val="clear" w:color="auto" w:fill="FFFFFF"/>
        </w:rPr>
        <w:t>[40]</w:t>
      </w:r>
      <w:r>
        <w:rPr>
          <w:rFonts w:asciiTheme="majorBidi" w:hAnsiTheme="majorBidi" w:cstheme="majorBidi"/>
          <w:color w:val="000000" w:themeColor="text1"/>
          <w:shd w:val="clear" w:color="auto" w:fill="FFFFFF"/>
        </w:rPr>
        <w:tab/>
      </w:r>
      <w:r w:rsidRPr="0085240F">
        <w:rPr>
          <w:rFonts w:asciiTheme="majorBidi" w:hAnsiTheme="majorBidi" w:cstheme="majorBidi"/>
          <w:i/>
          <w:iCs/>
          <w:color w:val="000000" w:themeColor="text1"/>
          <w:shd w:val="clear" w:color="auto" w:fill="FFFFFF"/>
        </w:rPr>
        <w:t>Freezing Assets of Corrupt Foreign Officials Act</w:t>
      </w:r>
      <w:r w:rsidRPr="0085240F">
        <w:rPr>
          <w:rFonts w:asciiTheme="majorBidi" w:hAnsiTheme="majorBidi" w:cstheme="majorBidi"/>
          <w:color w:val="000000" w:themeColor="text1"/>
          <w:shd w:val="clear" w:color="auto" w:fill="FFFFFF"/>
        </w:rPr>
        <w:t xml:space="preserve">, </w:t>
      </w:r>
      <w:r w:rsidRPr="0085240F">
        <w:rPr>
          <w:rFonts w:asciiTheme="majorBidi" w:hAnsiTheme="majorBidi" w:cstheme="majorBidi"/>
          <w:color w:val="212529"/>
        </w:rPr>
        <w:t>S.C. 2011, c. 10.</w:t>
      </w:r>
    </w:p>
    <w:p w14:paraId="7BFF2598" w14:textId="77777777" w:rsidR="00996F13" w:rsidRPr="00F752EB" w:rsidRDefault="00996F13" w:rsidP="00996F13">
      <w:pPr>
        <w:pStyle w:val="Heading2"/>
        <w:shd w:val="clear" w:color="auto" w:fill="FFFFFF"/>
        <w:spacing w:before="120" w:after="120"/>
        <w:jc w:val="both"/>
        <w:rPr>
          <w:rFonts w:asciiTheme="majorBidi" w:hAnsiTheme="majorBidi" w:cstheme="majorBidi"/>
          <w:b w:val="0"/>
          <w:bCs/>
          <w:color w:val="000000" w:themeColor="text1"/>
          <w:sz w:val="24"/>
          <w:szCs w:val="24"/>
          <w:lang w:val="en-CA" w:eastAsia="en-CA"/>
        </w:rPr>
      </w:pPr>
      <w:r>
        <w:rPr>
          <w:rFonts w:asciiTheme="majorBidi" w:hAnsiTheme="majorBidi" w:cstheme="majorBidi"/>
          <w:b w:val="0"/>
          <w:bCs/>
          <w:color w:val="000000" w:themeColor="text1"/>
          <w:sz w:val="24"/>
          <w:szCs w:val="24"/>
          <w:lang w:val="en-CA"/>
        </w:rPr>
        <w:t>[41]</w:t>
      </w:r>
      <w:r>
        <w:rPr>
          <w:rFonts w:asciiTheme="majorBidi" w:hAnsiTheme="majorBidi" w:cstheme="majorBidi"/>
          <w:b w:val="0"/>
          <w:bCs/>
          <w:color w:val="000000" w:themeColor="text1"/>
          <w:sz w:val="24"/>
          <w:szCs w:val="24"/>
          <w:lang w:val="en-CA"/>
        </w:rPr>
        <w:tab/>
      </w:r>
      <w:r w:rsidRPr="00C07BD8">
        <w:rPr>
          <w:rFonts w:asciiTheme="majorBidi" w:hAnsiTheme="majorBidi" w:cstheme="majorBidi"/>
          <w:b w:val="0"/>
          <w:bCs/>
          <w:i/>
          <w:iCs/>
          <w:color w:val="000000" w:themeColor="text1"/>
          <w:sz w:val="24"/>
          <w:szCs w:val="24"/>
          <w:lang w:val="en-CA"/>
        </w:rPr>
        <w:t>Lobbying Act</w:t>
      </w:r>
      <w:r w:rsidRPr="00C07BD8">
        <w:rPr>
          <w:rFonts w:asciiTheme="majorBidi" w:hAnsiTheme="majorBidi" w:cstheme="majorBidi"/>
          <w:b w:val="0"/>
          <w:bCs/>
          <w:color w:val="000000" w:themeColor="text1"/>
          <w:sz w:val="24"/>
          <w:szCs w:val="24"/>
          <w:lang w:val="en-CA"/>
        </w:rPr>
        <w:t>, R.S.C. 1985, c. 44 (4th Supp).</w:t>
      </w:r>
    </w:p>
    <w:p w14:paraId="06523846" w14:textId="77777777" w:rsidR="00996F13" w:rsidRPr="00F752EB" w:rsidRDefault="00996F13" w:rsidP="00996F13">
      <w:pPr>
        <w:pStyle w:val="Heading2"/>
        <w:shd w:val="clear" w:color="auto" w:fill="FFFFFF"/>
        <w:spacing w:before="120" w:after="120"/>
        <w:jc w:val="both"/>
        <w:rPr>
          <w:rFonts w:asciiTheme="majorBidi" w:hAnsiTheme="majorBidi" w:cstheme="majorBidi"/>
          <w:b w:val="0"/>
          <w:bCs/>
          <w:color w:val="000000" w:themeColor="text1"/>
          <w:sz w:val="24"/>
          <w:szCs w:val="24"/>
          <w:lang w:val="en-CA" w:eastAsia="en-CA"/>
        </w:rPr>
      </w:pPr>
      <w:r>
        <w:rPr>
          <w:rFonts w:asciiTheme="majorBidi" w:hAnsiTheme="majorBidi" w:cstheme="majorBidi"/>
          <w:b w:val="0"/>
          <w:bCs/>
          <w:iCs/>
          <w:color w:val="000000" w:themeColor="text1"/>
          <w:sz w:val="24"/>
          <w:szCs w:val="24"/>
          <w:lang w:val="en-US"/>
        </w:rPr>
        <w:t>[42]</w:t>
      </w:r>
      <w:r>
        <w:rPr>
          <w:rFonts w:asciiTheme="majorBidi" w:hAnsiTheme="majorBidi" w:cstheme="majorBidi"/>
          <w:b w:val="0"/>
          <w:bCs/>
          <w:iCs/>
          <w:color w:val="000000" w:themeColor="text1"/>
          <w:sz w:val="24"/>
          <w:szCs w:val="24"/>
          <w:lang w:val="en-US"/>
        </w:rPr>
        <w:tab/>
      </w:r>
      <w:r w:rsidRPr="00C07BD8">
        <w:rPr>
          <w:rFonts w:asciiTheme="majorBidi" w:hAnsiTheme="majorBidi" w:cstheme="majorBidi"/>
          <w:b w:val="0"/>
          <w:bCs/>
          <w:i/>
          <w:color w:val="000000" w:themeColor="text1"/>
          <w:sz w:val="24"/>
          <w:szCs w:val="24"/>
          <w:lang w:val="en-US"/>
        </w:rPr>
        <w:t>Public Servants Disclosure Protection Act</w:t>
      </w:r>
      <w:r w:rsidRPr="00C07BD8">
        <w:rPr>
          <w:rFonts w:asciiTheme="majorBidi" w:hAnsiTheme="majorBidi" w:cstheme="majorBidi"/>
          <w:b w:val="0"/>
          <w:bCs/>
          <w:iCs/>
          <w:color w:val="000000" w:themeColor="text1"/>
          <w:sz w:val="24"/>
          <w:szCs w:val="24"/>
          <w:lang w:val="en-US"/>
        </w:rPr>
        <w:t xml:space="preserve">, </w:t>
      </w:r>
      <w:r w:rsidRPr="00C07BD8">
        <w:rPr>
          <w:rFonts w:asciiTheme="majorBidi" w:hAnsiTheme="majorBidi" w:cstheme="majorBidi"/>
          <w:b w:val="0"/>
          <w:bCs/>
          <w:color w:val="000000" w:themeColor="text1"/>
          <w:sz w:val="24"/>
          <w:szCs w:val="24"/>
          <w:lang w:val="en-CA"/>
        </w:rPr>
        <w:t>S.C. 2005, c. 46.</w:t>
      </w:r>
    </w:p>
    <w:p w14:paraId="1B45993E" w14:textId="77777777" w:rsidR="00996F13" w:rsidRPr="00F752EB" w:rsidRDefault="00996F13" w:rsidP="00996F13">
      <w:pPr>
        <w:spacing w:before="120" w:after="120"/>
        <w:ind w:left="720" w:hanging="720"/>
        <w:jc w:val="both"/>
        <w:rPr>
          <w:rFonts w:asciiTheme="majorBidi" w:hAnsiTheme="majorBidi" w:cstheme="majorBidi"/>
          <w:color w:val="000000" w:themeColor="text1"/>
          <w:lang w:val="en-CA"/>
        </w:rPr>
      </w:pPr>
      <w:r>
        <w:rPr>
          <w:rFonts w:asciiTheme="majorBidi" w:hAnsiTheme="majorBidi" w:cstheme="majorBidi"/>
        </w:rPr>
        <w:t>[43]</w:t>
      </w:r>
      <w:r>
        <w:rPr>
          <w:rFonts w:asciiTheme="majorBidi" w:hAnsiTheme="majorBidi" w:cstheme="majorBidi"/>
        </w:rPr>
        <w:tab/>
      </w:r>
      <w:r w:rsidRPr="0085240F">
        <w:rPr>
          <w:rFonts w:asciiTheme="majorBidi" w:hAnsiTheme="majorBidi" w:cstheme="majorBidi"/>
        </w:rPr>
        <w:t>Standing Committee on Foreign Affairs and International Development, Number 039, 1</w:t>
      </w:r>
      <w:r w:rsidRPr="0085240F">
        <w:rPr>
          <w:rFonts w:asciiTheme="majorBidi" w:hAnsiTheme="majorBidi" w:cstheme="majorBidi"/>
          <w:vertAlign w:val="superscript"/>
        </w:rPr>
        <w:t>st</w:t>
      </w:r>
      <w:r w:rsidRPr="0085240F">
        <w:rPr>
          <w:rFonts w:asciiTheme="majorBidi" w:hAnsiTheme="majorBidi" w:cstheme="majorBidi"/>
        </w:rPr>
        <w:t xml:space="preserve"> Session, 42</w:t>
      </w:r>
      <w:r w:rsidRPr="0085240F">
        <w:rPr>
          <w:rFonts w:asciiTheme="majorBidi" w:hAnsiTheme="majorBidi" w:cstheme="majorBidi"/>
          <w:vertAlign w:val="superscript"/>
        </w:rPr>
        <w:t>nd</w:t>
      </w:r>
      <w:r w:rsidRPr="0085240F">
        <w:rPr>
          <w:rFonts w:asciiTheme="majorBidi" w:hAnsiTheme="majorBidi" w:cstheme="majorBidi"/>
        </w:rPr>
        <w:t xml:space="preserve"> Parliament, Monday, December 5, 2016</w:t>
      </w:r>
      <w:r>
        <w:rPr>
          <w:rFonts w:asciiTheme="majorBidi" w:hAnsiTheme="majorBidi" w:cstheme="majorBidi"/>
        </w:rPr>
        <w:t>.</w:t>
      </w:r>
    </w:p>
    <w:p w14:paraId="5814A1C2" w14:textId="77777777" w:rsidR="00996F13" w:rsidRPr="004560B4" w:rsidRDefault="00996F13" w:rsidP="00996F13">
      <w:pPr>
        <w:ind w:left="720" w:hanging="720"/>
        <w:jc w:val="both"/>
        <w:rPr>
          <w:rFonts w:asciiTheme="majorBidi" w:hAnsiTheme="majorBidi" w:cstheme="majorBidi"/>
          <w:color w:val="000000" w:themeColor="text1"/>
        </w:rPr>
      </w:pPr>
      <w:r>
        <w:rPr>
          <w:rFonts w:asciiTheme="majorBidi" w:hAnsiTheme="majorBidi" w:cstheme="majorBidi"/>
          <w:iCs/>
          <w:color w:val="000000" w:themeColor="text1"/>
        </w:rPr>
        <w:t>[44]</w:t>
      </w:r>
      <w:r>
        <w:rPr>
          <w:rFonts w:asciiTheme="majorBidi" w:hAnsiTheme="majorBidi" w:cstheme="majorBidi"/>
          <w:iCs/>
          <w:color w:val="000000" w:themeColor="text1"/>
        </w:rPr>
        <w:tab/>
      </w:r>
      <w:r w:rsidRPr="004560B4">
        <w:rPr>
          <w:rFonts w:asciiTheme="majorBidi" w:hAnsiTheme="majorBidi" w:cstheme="majorBidi"/>
          <w:iCs/>
          <w:color w:val="000000" w:themeColor="text1"/>
        </w:rPr>
        <w:t>UN General Assembly United Nations Convention Against Corruption, 31 October 2003, A/58/422</w:t>
      </w:r>
      <w:r>
        <w:rPr>
          <w:rFonts w:asciiTheme="majorBidi" w:hAnsiTheme="majorBidi" w:cstheme="majorBidi"/>
          <w:iCs/>
          <w:color w:val="000000" w:themeColor="text1"/>
        </w:rPr>
        <w:t>.</w:t>
      </w:r>
      <w:r w:rsidRPr="004560B4">
        <w:rPr>
          <w:rFonts w:asciiTheme="majorBidi" w:hAnsiTheme="majorBidi" w:cstheme="majorBidi"/>
          <w:color w:val="000000" w:themeColor="text1"/>
        </w:rPr>
        <w:t xml:space="preserve"> </w:t>
      </w:r>
    </w:p>
    <w:p w14:paraId="6C412D8A" w14:textId="77777777" w:rsidR="00996F13" w:rsidRPr="003B0D62" w:rsidRDefault="00996F13" w:rsidP="00996F13">
      <w:pPr>
        <w:jc w:val="both"/>
      </w:pPr>
    </w:p>
    <w:p w14:paraId="0624B2CD" w14:textId="77777777" w:rsidR="005C0E47" w:rsidRPr="003B0D62" w:rsidRDefault="005C0E47" w:rsidP="0053132C">
      <w:pPr>
        <w:jc w:val="both"/>
      </w:pPr>
    </w:p>
    <w:sectPr w:rsidR="005C0E47" w:rsidRPr="003B0D62" w:rsidSect="00DA5028">
      <w:pgSz w:w="12240" w:h="15840"/>
      <w:pgMar w:top="1701" w:right="1134"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5A467" w14:textId="77777777" w:rsidR="00572E50" w:rsidRDefault="00572E50" w:rsidP="00D66255">
      <w:pPr>
        <w:spacing w:before="0" w:after="0" w:line="240" w:lineRule="auto"/>
      </w:pPr>
      <w:r>
        <w:separator/>
      </w:r>
    </w:p>
  </w:endnote>
  <w:endnote w:type="continuationSeparator" w:id="0">
    <w:p w14:paraId="5877EF12" w14:textId="77777777" w:rsidR="00572E50" w:rsidRDefault="00572E50" w:rsidP="00D662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dvTT5843c571">
    <w:altName w:val="Times New Roman"/>
    <w:panose1 w:val="00000000000000000000"/>
    <w:charset w:val="00"/>
    <w:family w:val="roman"/>
    <w:notTrueType/>
    <w:pitch w:val="default"/>
  </w:font>
  <w:font w:name="AdvTTf90d833a.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A9AC3" w14:textId="77777777" w:rsidR="00572E50" w:rsidRDefault="00572E50" w:rsidP="00D66255">
      <w:pPr>
        <w:spacing w:before="0" w:after="0" w:line="240" w:lineRule="auto"/>
      </w:pPr>
      <w:r>
        <w:separator/>
      </w:r>
    </w:p>
  </w:footnote>
  <w:footnote w:type="continuationSeparator" w:id="0">
    <w:p w14:paraId="70841ACE" w14:textId="77777777" w:rsidR="00572E50" w:rsidRDefault="00572E50" w:rsidP="00D66255">
      <w:pPr>
        <w:spacing w:before="0" w:after="0" w:line="240" w:lineRule="auto"/>
      </w:pPr>
      <w:r>
        <w:continuationSeparator/>
      </w:r>
    </w:p>
  </w:footnote>
  <w:footnote w:id="1">
    <w:p w14:paraId="0C160F58" w14:textId="105FBFA2" w:rsidR="00AA0E71" w:rsidRDefault="00AA0E71" w:rsidP="00AA0E71">
      <w:pPr>
        <w:pStyle w:val="FootnoteText"/>
        <w:jc w:val="left"/>
      </w:pPr>
      <w:r w:rsidRPr="00AA0E71">
        <w:rPr>
          <w:rStyle w:val="FootnoteReference"/>
        </w:rPr>
        <w:sym w:font="Symbol" w:char="F02A"/>
      </w:r>
      <w:r>
        <w:t xml:space="preserve"> Thạc sĩ Luật học ĐH Laval, Cử nhân Luật (ĐH Quebec ở Montreal), Cử nhân Khoa học Chính trị (ĐH Montreal), Học viện Luật Quốc tế La Haye (Hà Lan), Nghiên cứu Nga và Slav (ĐH McGill), biết nhiều ngôn ngữ. Ông hiện là Luật sư Vương miện của Dịch vụ Công tố Canada. Ông là một diễn giả cả ở Canada và nước ngoài bao gồm Việt Nam. Ông là giảng viên luật bán thời gian (Bộ môn Luật Dân sự, Khoa Luật, ĐH Ottawa). </w:t>
      </w:r>
    </w:p>
    <w:p w14:paraId="44476CEA" w14:textId="5C6FB852" w:rsidR="00AA0E71" w:rsidRPr="00AA0E71" w:rsidRDefault="00AA0E71" w:rsidP="00AA0E71">
      <w:pPr>
        <w:pStyle w:val="FootnoteText"/>
        <w:jc w:val="left"/>
      </w:pPr>
      <w:r w:rsidRPr="00AA0E71">
        <w:t>Các bình luận của tác</w:t>
      </w:r>
      <w:r>
        <w:t xml:space="preserve"> giả trong bài viết này chỉ phán ảnh suy nghĩ cá nhân và không có bất kỳ một liên kết trực tiếp hay gián tiếp nào với người khác hay tổ chức ngoài tác giả.</w:t>
      </w:r>
    </w:p>
  </w:footnote>
  <w:footnote w:id="2">
    <w:p w14:paraId="7B2654FF" w14:textId="5F0E23A0" w:rsidR="006D2CB9" w:rsidRDefault="006D2CB9" w:rsidP="00144C74">
      <w:pPr>
        <w:pStyle w:val="FootnoteText"/>
        <w:jc w:val="left"/>
      </w:pPr>
      <w:r>
        <w:rPr>
          <w:rStyle w:val="FootnoteReference"/>
        </w:rPr>
        <w:footnoteRef/>
      </w:r>
      <w:r>
        <w:t xml:space="preserve"> </w:t>
      </w:r>
      <w:r w:rsidRPr="00AE7806">
        <w:rPr>
          <w:rFonts w:asciiTheme="majorBidi" w:hAnsiTheme="majorBidi" w:cstheme="majorBidi"/>
          <w:color w:val="000000" w:themeColor="text1"/>
        </w:rPr>
        <w:t xml:space="preserve">Gaon A. &amp; Stedman I. (2019), ‘A Call to Action: Moving Forward with the Governance of Artificial Intelligence in Canada’, </w:t>
      </w:r>
      <w:r w:rsidRPr="00AE7806">
        <w:rPr>
          <w:rFonts w:asciiTheme="majorBidi" w:hAnsiTheme="majorBidi" w:cstheme="majorBidi"/>
          <w:i/>
          <w:iCs/>
          <w:color w:val="000000" w:themeColor="text1"/>
        </w:rPr>
        <w:t>Alberta Law Review</w:t>
      </w:r>
      <w:r>
        <w:rPr>
          <w:rFonts w:asciiTheme="majorBidi" w:hAnsiTheme="majorBidi" w:cstheme="majorBidi"/>
          <w:color w:val="000000" w:themeColor="text1"/>
        </w:rPr>
        <w:t>,</w:t>
      </w:r>
      <w:r w:rsidRPr="00AE7806">
        <w:rPr>
          <w:rFonts w:asciiTheme="majorBidi" w:hAnsiTheme="majorBidi" w:cstheme="majorBidi"/>
          <w:color w:val="000000" w:themeColor="text1"/>
        </w:rPr>
        <w:t xml:space="preserve"> </w:t>
      </w:r>
      <w:r w:rsidRPr="00AE7806">
        <w:rPr>
          <w:rFonts w:asciiTheme="majorBidi" w:hAnsiTheme="majorBidi" w:cstheme="majorBidi"/>
          <w:iCs/>
          <w:color w:val="000000" w:themeColor="text1"/>
        </w:rPr>
        <w:t>56</w:t>
      </w:r>
      <w:r w:rsidRPr="00AE7806">
        <w:rPr>
          <w:rFonts w:asciiTheme="majorBidi" w:hAnsiTheme="majorBidi" w:cstheme="majorBidi"/>
          <w:color w:val="000000" w:themeColor="text1"/>
        </w:rPr>
        <w:t>(4),</w:t>
      </w:r>
      <w:r w:rsidRPr="00AE7806">
        <w:rPr>
          <w:rFonts w:asciiTheme="majorBidi" w:hAnsiTheme="majorBidi" w:cstheme="majorBidi"/>
          <w:color w:val="000000" w:themeColor="text1"/>
          <w:lang w:val="en-CA"/>
        </w:rPr>
        <w:t xml:space="preserve"> </w:t>
      </w:r>
      <w:r w:rsidRPr="00AE7806">
        <w:rPr>
          <w:rFonts w:asciiTheme="majorBidi" w:hAnsiTheme="majorBidi" w:cstheme="majorBidi"/>
          <w:color w:val="000000" w:themeColor="text1"/>
        </w:rPr>
        <w:t>p. 1165</w:t>
      </w:r>
      <w:r>
        <w:rPr>
          <w:rFonts w:asciiTheme="majorBidi" w:hAnsiTheme="majorBidi" w:cstheme="majorBidi"/>
          <w:color w:val="000000" w:themeColor="text1"/>
        </w:rPr>
        <w:t>.</w:t>
      </w:r>
    </w:p>
  </w:footnote>
  <w:footnote w:id="3">
    <w:p w14:paraId="2DDFFF55" w14:textId="5AA3A0A0" w:rsidR="006D2CB9" w:rsidRDefault="006D2CB9" w:rsidP="00213387">
      <w:pPr>
        <w:pStyle w:val="FootnoteText"/>
        <w:jc w:val="left"/>
      </w:pPr>
      <w:r>
        <w:rPr>
          <w:rStyle w:val="FootnoteReference"/>
        </w:rPr>
        <w:footnoteRef/>
      </w:r>
      <w:r>
        <w:t xml:space="preserve"> </w:t>
      </w:r>
      <w:r w:rsidRPr="00AE7806">
        <w:rPr>
          <w:rFonts w:asciiTheme="majorBidi" w:hAnsiTheme="majorBidi" w:cstheme="majorBidi"/>
          <w:i/>
          <w:color w:val="000000" w:themeColor="text1"/>
          <w:lang w:val="en-CA"/>
        </w:rPr>
        <w:t>Globe and Mail v. Canada (Attorney General)</w:t>
      </w:r>
      <w:r w:rsidRPr="00AE7806">
        <w:rPr>
          <w:rFonts w:asciiTheme="majorBidi" w:hAnsiTheme="majorBidi" w:cstheme="majorBidi"/>
          <w:color w:val="000000" w:themeColor="text1"/>
          <w:lang w:val="en-CA"/>
        </w:rPr>
        <w:t>, [2010] 2 S.C.R. 592, paras 4-5</w:t>
      </w:r>
      <w:r>
        <w:rPr>
          <w:rFonts w:asciiTheme="majorBidi" w:hAnsiTheme="majorBidi" w:cstheme="majorBidi"/>
          <w:color w:val="000000" w:themeColor="text1"/>
          <w:lang w:val="en-CA"/>
        </w:rPr>
        <w:t>.</w:t>
      </w:r>
    </w:p>
  </w:footnote>
  <w:footnote w:id="4">
    <w:p w14:paraId="418867D2" w14:textId="5E06DCA9" w:rsidR="006D2CB9" w:rsidRDefault="006D2CB9" w:rsidP="00213387">
      <w:pPr>
        <w:pStyle w:val="FootnoteText"/>
        <w:jc w:val="left"/>
      </w:pPr>
      <w:r>
        <w:rPr>
          <w:rStyle w:val="FootnoteReference"/>
        </w:rPr>
        <w:footnoteRef/>
      </w:r>
      <w:r>
        <w:t xml:space="preserve"> </w:t>
      </w:r>
      <w:r w:rsidRPr="00AE7806">
        <w:rPr>
          <w:rFonts w:asciiTheme="majorBidi" w:hAnsiTheme="majorBidi" w:cstheme="majorBidi"/>
          <w:i/>
          <w:iCs/>
          <w:color w:val="212529"/>
        </w:rPr>
        <w:t>R. c. Applebaum</w:t>
      </w:r>
      <w:r w:rsidRPr="00AE7806">
        <w:rPr>
          <w:rFonts w:asciiTheme="majorBidi" w:hAnsiTheme="majorBidi" w:cstheme="majorBidi"/>
          <w:color w:val="212529"/>
        </w:rPr>
        <w:t xml:space="preserve">, 2017 QCCQ 160. The accused </w:t>
      </w:r>
      <w:r w:rsidRPr="00AE7806">
        <w:rPr>
          <w:rFonts w:asciiTheme="majorBidi" w:hAnsiTheme="majorBidi" w:cstheme="majorBidi"/>
          <w:color w:val="333333"/>
        </w:rPr>
        <w:t>was convicted, among other charges, of violating sections 121(1)(</w:t>
      </w:r>
      <w:r w:rsidRPr="00AE7806">
        <w:rPr>
          <w:rFonts w:asciiTheme="majorBidi" w:hAnsiTheme="majorBidi" w:cstheme="majorBidi"/>
          <w:i/>
          <w:iCs/>
          <w:color w:val="333333"/>
        </w:rPr>
        <w:t>a</w:t>
      </w:r>
      <w:r w:rsidRPr="00AE7806">
        <w:rPr>
          <w:rFonts w:asciiTheme="majorBidi" w:hAnsiTheme="majorBidi" w:cstheme="majorBidi"/>
          <w:color w:val="333333"/>
        </w:rPr>
        <w:t xml:space="preserve">), 122 and 123 of the </w:t>
      </w:r>
      <w:r w:rsidRPr="00AE7806">
        <w:rPr>
          <w:rFonts w:asciiTheme="majorBidi" w:hAnsiTheme="majorBidi" w:cstheme="majorBidi"/>
          <w:i/>
          <w:iCs/>
          <w:color w:val="000000" w:themeColor="text1"/>
        </w:rPr>
        <w:t>Criminal Code</w:t>
      </w:r>
      <w:r w:rsidRPr="00AE7806">
        <w:rPr>
          <w:rFonts w:asciiTheme="majorBidi" w:hAnsiTheme="majorBidi" w:cstheme="majorBidi"/>
          <w:color w:val="000000" w:themeColor="text1"/>
        </w:rPr>
        <w:t>, R.S.C. 1985, c. C-46</w:t>
      </w:r>
      <w:r>
        <w:rPr>
          <w:rFonts w:asciiTheme="majorBidi" w:hAnsiTheme="majorBidi" w:cstheme="majorBidi"/>
          <w:color w:val="000000" w:themeColor="text1"/>
        </w:rPr>
        <w:t>.</w:t>
      </w:r>
    </w:p>
  </w:footnote>
  <w:footnote w:id="5">
    <w:p w14:paraId="2E2E1AE7" w14:textId="11D98CB8" w:rsidR="006D2CB9" w:rsidRDefault="006D2CB9" w:rsidP="00213387">
      <w:pPr>
        <w:pStyle w:val="FootnoteText"/>
        <w:jc w:val="left"/>
      </w:pPr>
      <w:r>
        <w:rPr>
          <w:rStyle w:val="FootnoteReference"/>
        </w:rPr>
        <w:footnoteRef/>
      </w:r>
      <w:r w:rsidRPr="000C4C6B">
        <w:rPr>
          <w:lang w:val="fr-FR"/>
        </w:rPr>
        <w:t xml:space="preserve"> </w:t>
      </w:r>
      <w:r w:rsidRPr="000C4C6B">
        <w:rPr>
          <w:rFonts w:asciiTheme="majorBidi" w:hAnsiTheme="majorBidi" w:cstheme="majorBidi"/>
          <w:color w:val="000000" w:themeColor="text1"/>
          <w:lang w:val="fr-FR"/>
        </w:rPr>
        <w:t>Mockle D. (2019), ‘Le principe général du bon gouvernement’ [</w:t>
      </w:r>
      <w:r w:rsidRPr="000C4C6B">
        <w:rPr>
          <w:rFonts w:asciiTheme="majorBidi" w:hAnsiTheme="majorBidi" w:cstheme="majorBidi"/>
          <w:i/>
          <w:color w:val="000000" w:themeColor="text1"/>
          <w:lang w:val="fr-FR"/>
        </w:rPr>
        <w:t>The General Principle of Good Governance</w:t>
      </w:r>
      <w:r w:rsidRPr="000C4C6B">
        <w:rPr>
          <w:rFonts w:asciiTheme="majorBidi" w:hAnsiTheme="majorBidi" w:cstheme="majorBidi"/>
          <w:color w:val="000000" w:themeColor="text1"/>
          <w:lang w:val="fr-FR"/>
        </w:rPr>
        <w:t xml:space="preserve">], </w:t>
      </w:r>
      <w:r w:rsidRPr="000C4C6B">
        <w:rPr>
          <w:rFonts w:asciiTheme="majorBidi" w:hAnsiTheme="majorBidi" w:cstheme="majorBidi"/>
          <w:i/>
          <w:iCs/>
          <w:color w:val="000000" w:themeColor="text1"/>
          <w:lang w:val="fr-FR"/>
        </w:rPr>
        <w:t>Les Cahiers de droit</w:t>
      </w:r>
      <w:r w:rsidRPr="000C4C6B">
        <w:rPr>
          <w:rFonts w:asciiTheme="majorBidi" w:hAnsiTheme="majorBidi" w:cstheme="majorBidi"/>
          <w:color w:val="000000" w:themeColor="text1"/>
          <w:lang w:val="fr-FR"/>
        </w:rPr>
        <w:t xml:space="preserve">, 60(4), 1031-1086, p. 1047. </w:t>
      </w:r>
      <w:r w:rsidRPr="00AE7806">
        <w:rPr>
          <w:rFonts w:asciiTheme="majorBidi" w:hAnsiTheme="majorBidi" w:cstheme="majorBidi"/>
          <w:color w:val="000000" w:themeColor="text1"/>
          <w:lang w:val="en-CA"/>
        </w:rPr>
        <w:t xml:space="preserve">Retrieved from </w:t>
      </w:r>
      <w:hyperlink r:id="rId1" w:history="1">
        <w:r w:rsidRPr="00AE7806">
          <w:rPr>
            <w:rStyle w:val="Hyperlink"/>
            <w:rFonts w:asciiTheme="majorBidi" w:hAnsiTheme="majorBidi" w:cstheme="majorBidi"/>
            <w:color w:val="000000" w:themeColor="text1"/>
            <w:lang w:val="en-CA"/>
          </w:rPr>
          <w:t>https://doi.org/10.7202/1066349ar</w:t>
        </w:r>
      </w:hyperlink>
      <w:r w:rsidRPr="00AE7806">
        <w:rPr>
          <w:rFonts w:asciiTheme="majorBidi" w:hAnsiTheme="majorBidi" w:cstheme="majorBidi"/>
          <w:color w:val="000000" w:themeColor="text1"/>
          <w:lang w:val="en-CA"/>
        </w:rPr>
        <w:t xml:space="preserve"> [</w:t>
      </w:r>
      <w:r>
        <w:rPr>
          <w:rFonts w:asciiTheme="majorBidi" w:hAnsiTheme="majorBidi" w:cstheme="majorBidi"/>
          <w:iCs/>
          <w:color w:val="000000" w:themeColor="text1"/>
          <w:lang w:val="en-CA"/>
        </w:rPr>
        <w:t>translated from</w:t>
      </w:r>
      <w:r w:rsidRPr="00A66507">
        <w:rPr>
          <w:rFonts w:asciiTheme="majorBidi" w:hAnsiTheme="majorBidi" w:cstheme="majorBidi"/>
          <w:iCs/>
          <w:color w:val="000000" w:themeColor="text1"/>
          <w:lang w:val="en-CA"/>
        </w:rPr>
        <w:t xml:space="preserve"> French</w:t>
      </w:r>
      <w:r>
        <w:rPr>
          <w:rFonts w:asciiTheme="majorBidi" w:hAnsiTheme="majorBidi" w:cstheme="majorBidi"/>
          <w:iCs/>
          <w:color w:val="000000" w:themeColor="text1"/>
          <w:lang w:val="en-CA"/>
        </w:rPr>
        <w:t xml:space="preserve"> by Sébastien Lafrance</w:t>
      </w:r>
      <w:r w:rsidRPr="00AE7806">
        <w:rPr>
          <w:rFonts w:asciiTheme="majorBidi" w:hAnsiTheme="majorBidi" w:cstheme="majorBidi"/>
          <w:color w:val="000000" w:themeColor="text1"/>
          <w:lang w:val="en-CA"/>
        </w:rPr>
        <w:t>]</w:t>
      </w:r>
    </w:p>
  </w:footnote>
  <w:footnote w:id="6">
    <w:p w14:paraId="2217C38B" w14:textId="57034522" w:rsidR="006D2CB9" w:rsidRDefault="006D2CB9" w:rsidP="00213387">
      <w:pPr>
        <w:pStyle w:val="FootnoteText"/>
        <w:jc w:val="left"/>
      </w:pPr>
      <w:r>
        <w:rPr>
          <w:rStyle w:val="FootnoteReference"/>
        </w:rPr>
        <w:footnoteRef/>
      </w:r>
      <w:r>
        <w:t xml:space="preserve">  </w:t>
      </w:r>
      <w:r w:rsidRPr="00AE7806">
        <w:rPr>
          <w:rFonts w:asciiTheme="majorBidi" w:eastAsia="Times New Roman" w:hAnsiTheme="majorBidi" w:cstheme="majorBidi"/>
        </w:rPr>
        <w:t xml:space="preserve">Tromme, M. (2019). </w:t>
      </w:r>
      <w:r>
        <w:rPr>
          <w:rFonts w:asciiTheme="majorBidi" w:eastAsia="Times New Roman" w:hAnsiTheme="majorBidi" w:cstheme="majorBidi"/>
        </w:rPr>
        <w:t>‘</w:t>
      </w:r>
      <w:r w:rsidRPr="00AE7806">
        <w:rPr>
          <w:rFonts w:asciiTheme="majorBidi" w:eastAsia="Times New Roman" w:hAnsiTheme="majorBidi" w:cstheme="majorBidi"/>
        </w:rPr>
        <w:t>Waging War against Corruption in Developing Countries: How Asset Recovery can be Compliant with the Rule of Law</w:t>
      </w:r>
      <w:r>
        <w:rPr>
          <w:rFonts w:asciiTheme="majorBidi" w:eastAsia="Times New Roman" w:hAnsiTheme="majorBidi" w:cstheme="majorBidi"/>
        </w:rPr>
        <w:t xml:space="preserve">’, </w:t>
      </w:r>
      <w:r w:rsidRPr="001076FA">
        <w:rPr>
          <w:rFonts w:asciiTheme="majorBidi" w:eastAsia="Times New Roman" w:hAnsiTheme="majorBidi" w:cstheme="majorBidi"/>
          <w:i/>
          <w:iCs/>
        </w:rPr>
        <w:t>Duke Journal of Comparative and International Law</w:t>
      </w:r>
      <w:r w:rsidRPr="00AE7806">
        <w:rPr>
          <w:rFonts w:asciiTheme="majorBidi" w:eastAsia="Times New Roman" w:hAnsiTheme="majorBidi" w:cstheme="majorBidi"/>
        </w:rPr>
        <w:t>, 29(2), 165-234</w:t>
      </w:r>
      <w:r>
        <w:rPr>
          <w:rFonts w:asciiTheme="majorBidi" w:eastAsia="Times New Roman" w:hAnsiTheme="majorBidi" w:cstheme="majorBidi"/>
        </w:rPr>
        <w:t>.</w:t>
      </w:r>
    </w:p>
  </w:footnote>
  <w:footnote w:id="7">
    <w:p w14:paraId="5B9E5C04" w14:textId="002E2A54" w:rsidR="006D2CB9" w:rsidRDefault="006D2CB9" w:rsidP="001F0A7E">
      <w:pPr>
        <w:pStyle w:val="FootnoteText"/>
        <w:jc w:val="left"/>
      </w:pPr>
      <w:r>
        <w:rPr>
          <w:rStyle w:val="FootnoteReference"/>
        </w:rPr>
        <w:footnoteRef/>
      </w:r>
      <w:r>
        <w:t xml:space="preserve"> </w:t>
      </w:r>
      <w:r w:rsidRPr="00AE7806">
        <w:rPr>
          <w:rFonts w:asciiTheme="majorBidi" w:hAnsiTheme="majorBidi" w:cstheme="majorBidi"/>
          <w:color w:val="000000" w:themeColor="text1"/>
        </w:rPr>
        <w:t xml:space="preserve">Gibbons K. M., ‘The Study of Political Corruption’ in Kenneth M. Gibbons &amp; Donald Rowat (eds), </w:t>
      </w:r>
      <w:r w:rsidRPr="00AE7806">
        <w:rPr>
          <w:rFonts w:asciiTheme="majorBidi" w:hAnsiTheme="majorBidi" w:cstheme="majorBidi"/>
          <w:i/>
          <w:iCs/>
          <w:color w:val="000000" w:themeColor="text1"/>
        </w:rPr>
        <w:t>Political Corruption in Canada: Cases, Causes and Cures</w:t>
      </w:r>
      <w:r w:rsidRPr="00AE7806">
        <w:rPr>
          <w:rFonts w:asciiTheme="majorBidi" w:hAnsiTheme="majorBidi" w:cstheme="majorBidi"/>
          <w:color w:val="000000" w:themeColor="text1"/>
        </w:rPr>
        <w:t>, Toronto: McClelland &amp; Stewart, 1976, p. 3</w:t>
      </w:r>
      <w:r>
        <w:rPr>
          <w:rFonts w:asciiTheme="majorBidi" w:hAnsiTheme="majorBidi" w:cstheme="majorBidi"/>
          <w:color w:val="000000" w:themeColor="text1"/>
        </w:rPr>
        <w:t>.</w:t>
      </w:r>
    </w:p>
  </w:footnote>
  <w:footnote w:id="8">
    <w:p w14:paraId="588CC3B7" w14:textId="6FA097F3" w:rsidR="006D2CB9" w:rsidRDefault="006D2CB9" w:rsidP="001F0A7E">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Ibid, p. 4</w:t>
      </w:r>
      <w:r>
        <w:rPr>
          <w:rFonts w:asciiTheme="majorBidi" w:hAnsiTheme="majorBidi" w:cstheme="majorBidi"/>
          <w:color w:val="000000" w:themeColor="text1"/>
          <w:lang w:val="en-CA"/>
        </w:rPr>
        <w:t>.</w:t>
      </w:r>
    </w:p>
  </w:footnote>
  <w:footnote w:id="9">
    <w:p w14:paraId="36D46400" w14:textId="42DE0744" w:rsidR="006D2CB9" w:rsidRDefault="006D2CB9" w:rsidP="001F0A7E">
      <w:pPr>
        <w:pStyle w:val="FootnoteText"/>
        <w:jc w:val="left"/>
      </w:pPr>
      <w:r>
        <w:rPr>
          <w:rStyle w:val="FootnoteReference"/>
        </w:rPr>
        <w:footnoteRef/>
      </w:r>
      <w:r>
        <w:t xml:space="preserve"> </w:t>
      </w:r>
      <w:r w:rsidRPr="00AE7806">
        <w:rPr>
          <w:rFonts w:asciiTheme="majorBidi" w:hAnsiTheme="majorBidi" w:cstheme="majorBidi"/>
          <w:color w:val="000000" w:themeColor="text1"/>
        </w:rPr>
        <w:t xml:space="preserve">Sandage, J. (2015). </w:t>
      </w:r>
      <w:r w:rsidRPr="00AE7806">
        <w:rPr>
          <w:rFonts w:asciiTheme="majorBidi" w:hAnsiTheme="majorBidi" w:cstheme="majorBidi"/>
          <w:i/>
          <w:iCs/>
          <w:color w:val="000000" w:themeColor="text1"/>
        </w:rPr>
        <w:t>Global Corruption and the Universal Approach of the United Nations Convention against Corruption</w:t>
      </w:r>
      <w:r w:rsidRPr="00AE7806">
        <w:rPr>
          <w:rFonts w:asciiTheme="majorBidi" w:hAnsiTheme="majorBidi" w:cstheme="majorBidi"/>
          <w:color w:val="000000" w:themeColor="text1"/>
        </w:rPr>
        <w:t xml:space="preserve">, </w:t>
      </w:r>
      <w:r w:rsidRPr="001076FA">
        <w:rPr>
          <w:rFonts w:asciiTheme="majorBidi" w:hAnsiTheme="majorBidi" w:cstheme="majorBidi"/>
          <w:i/>
          <w:iCs/>
          <w:color w:val="000000" w:themeColor="text1"/>
        </w:rPr>
        <w:t>Osgoode Hall Law Journal</w:t>
      </w:r>
      <w:r w:rsidRPr="00AE7806">
        <w:rPr>
          <w:rFonts w:asciiTheme="majorBidi" w:hAnsiTheme="majorBidi" w:cstheme="majorBidi"/>
          <w:color w:val="000000" w:themeColor="text1"/>
        </w:rPr>
        <w:t>, 53(1), 7-30, p. 8</w:t>
      </w:r>
      <w:r>
        <w:rPr>
          <w:rFonts w:asciiTheme="majorBidi" w:hAnsiTheme="majorBidi" w:cstheme="majorBidi"/>
          <w:color w:val="000000" w:themeColor="text1"/>
        </w:rPr>
        <w:t>.</w:t>
      </w:r>
    </w:p>
  </w:footnote>
  <w:footnote w:id="10">
    <w:p w14:paraId="7B276BCD" w14:textId="372B93AB" w:rsidR="006D2CB9" w:rsidRDefault="006D2CB9" w:rsidP="001F0A7E">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 xml:space="preserve">Adam I. &amp; Fazekas M. (2018), </w:t>
      </w:r>
      <w:r w:rsidRPr="00AE7806">
        <w:rPr>
          <w:rFonts w:asciiTheme="majorBidi" w:hAnsiTheme="majorBidi" w:cstheme="majorBidi"/>
          <w:i/>
          <w:iCs/>
          <w:color w:val="000000" w:themeColor="text1"/>
          <w:lang w:val="en-CA"/>
        </w:rPr>
        <w:t xml:space="preserve">Are emerging technologies helping win the fight against corruption in developing countries? </w:t>
      </w:r>
      <w:r w:rsidRPr="00AE7806">
        <w:rPr>
          <w:rFonts w:asciiTheme="majorBidi" w:hAnsiTheme="majorBidi" w:cstheme="majorBidi"/>
          <w:color w:val="000000" w:themeColor="text1"/>
          <w:lang w:val="en-CA"/>
        </w:rPr>
        <w:t>Pathways for Prosperity Commission Background Paper Series; no. 21, Oxford, United Kingdom, p. 6.</w:t>
      </w:r>
    </w:p>
  </w:footnote>
  <w:footnote w:id="11">
    <w:p w14:paraId="2AC484F3" w14:textId="0030B29A" w:rsidR="006D2CB9" w:rsidRDefault="006D2CB9" w:rsidP="001F0A7E">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 xml:space="preserve">Lisciandra M. (2017), ‘Corruption’ in </w:t>
      </w:r>
      <w:r w:rsidRPr="00AE7806">
        <w:rPr>
          <w:rStyle w:val="fontstyle01"/>
          <w:rFonts w:asciiTheme="majorBidi" w:hAnsiTheme="majorBidi" w:cstheme="majorBidi"/>
          <w:color w:val="000000" w:themeColor="text1"/>
          <w:lang w:val="en-CA"/>
        </w:rPr>
        <w:t xml:space="preserve">A. Marciano, G.B. Ramello (eds.), </w:t>
      </w:r>
      <w:r w:rsidRPr="00AE7806">
        <w:rPr>
          <w:rStyle w:val="fontstyle21"/>
          <w:rFonts w:asciiTheme="majorBidi" w:hAnsiTheme="majorBidi" w:cstheme="majorBidi"/>
          <w:i/>
          <w:color w:val="000000" w:themeColor="text1"/>
          <w:lang w:val="en-CA"/>
        </w:rPr>
        <w:t>Encyclopedia of Law and Economics</w:t>
      </w:r>
      <w:r w:rsidRPr="00AE7806">
        <w:rPr>
          <w:rStyle w:val="fontstyle01"/>
          <w:rFonts w:asciiTheme="majorBidi" w:hAnsiTheme="majorBidi" w:cstheme="majorBidi"/>
          <w:color w:val="000000" w:themeColor="text1"/>
          <w:lang w:val="en-CA"/>
        </w:rPr>
        <w:t>, Springer Science+Media Business, p.1. DOI: 10.1007/978-1-4614-7883-6</w:t>
      </w:r>
      <w:r w:rsidRPr="00AE7806">
        <w:rPr>
          <w:rStyle w:val="fontstyle01"/>
          <w:rFonts w:asciiTheme="majorBidi" w:hAnsiTheme="majorBidi" w:cstheme="majorBidi"/>
          <w:color w:val="000000" w:themeColor="text1"/>
          <w:lang w:val="en-CA"/>
        </w:rPr>
        <w:softHyphen/>
        <w:t>_702-1.</w:t>
      </w:r>
    </w:p>
  </w:footnote>
  <w:footnote w:id="12">
    <w:p w14:paraId="133C517C" w14:textId="212B5E73" w:rsidR="006D2CB9" w:rsidRDefault="006D2CB9" w:rsidP="001F0A7E">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 xml:space="preserve">Dobovsek B. (2009), </w:t>
      </w:r>
      <w:r w:rsidRPr="00AE7806">
        <w:rPr>
          <w:rFonts w:asciiTheme="majorBidi" w:hAnsiTheme="majorBidi" w:cstheme="majorBidi"/>
          <w:i/>
          <w:color w:val="000000" w:themeColor="text1"/>
          <w:lang w:val="en-CA"/>
        </w:rPr>
        <w:t>Prevention of Corruption</w:t>
      </w:r>
      <w:r w:rsidRPr="00AE7806">
        <w:rPr>
          <w:rFonts w:asciiTheme="majorBidi" w:hAnsiTheme="majorBidi" w:cstheme="majorBidi"/>
          <w:color w:val="000000" w:themeColor="text1"/>
          <w:lang w:val="en-CA"/>
        </w:rPr>
        <w:t>, The Human Resources Management Authority, Government of Montenegro, Podgorica, Montenegro, p. 32</w:t>
      </w:r>
      <w:r>
        <w:rPr>
          <w:rFonts w:asciiTheme="majorBidi" w:hAnsiTheme="majorBidi" w:cstheme="majorBidi"/>
          <w:color w:val="000000" w:themeColor="text1"/>
          <w:lang w:val="en-CA"/>
        </w:rPr>
        <w:t>.</w:t>
      </w:r>
    </w:p>
  </w:footnote>
  <w:footnote w:id="13">
    <w:p w14:paraId="7910561A" w14:textId="57F15EB0" w:rsidR="006D2CB9" w:rsidRPr="006C10E7" w:rsidRDefault="006D2CB9" w:rsidP="00021ACF">
      <w:pPr>
        <w:pStyle w:val="FootnoteText"/>
        <w:jc w:val="left"/>
        <w:rPr>
          <w:lang w:val="fr-FR"/>
        </w:rPr>
      </w:pPr>
      <w:r>
        <w:rPr>
          <w:rStyle w:val="FootnoteReference"/>
        </w:rPr>
        <w:footnoteRef/>
      </w:r>
      <w:r>
        <w:t xml:space="preserve"> </w:t>
      </w:r>
      <w:r w:rsidRPr="00AE7806">
        <w:rPr>
          <w:rFonts w:asciiTheme="majorBidi" w:hAnsiTheme="majorBidi" w:cstheme="majorBidi"/>
          <w:i/>
          <w:iCs/>
          <w:color w:val="000000" w:themeColor="text1"/>
          <w:lang w:val="pt-BR"/>
        </w:rPr>
        <w:t>R. v. Hinchey</w:t>
      </w:r>
      <w:r w:rsidRPr="00AE7806">
        <w:rPr>
          <w:rFonts w:asciiTheme="majorBidi" w:hAnsiTheme="majorBidi" w:cstheme="majorBidi"/>
          <w:color w:val="000000" w:themeColor="text1"/>
          <w:lang w:val="pt-BR"/>
        </w:rPr>
        <w:t xml:space="preserve">, [1996] 3 S.C.R. 1128, para. </w:t>
      </w:r>
      <w:r w:rsidRPr="00AE7806">
        <w:rPr>
          <w:rFonts w:asciiTheme="majorBidi" w:hAnsiTheme="majorBidi" w:cstheme="majorBidi"/>
          <w:color w:val="000000" w:themeColor="text1"/>
          <w:lang w:val="es-ES_tradnl"/>
        </w:rPr>
        <w:t>13</w:t>
      </w:r>
      <w:r>
        <w:rPr>
          <w:rFonts w:asciiTheme="majorBidi" w:hAnsiTheme="majorBidi" w:cstheme="majorBidi"/>
          <w:color w:val="000000" w:themeColor="text1"/>
          <w:lang w:val="es-ES_tradnl"/>
        </w:rPr>
        <w:t>.</w:t>
      </w:r>
    </w:p>
  </w:footnote>
  <w:footnote w:id="14">
    <w:p w14:paraId="1106FBB6" w14:textId="58E7FD6E" w:rsidR="006D2CB9" w:rsidRPr="006C10E7" w:rsidRDefault="006D2CB9" w:rsidP="00021ACF">
      <w:pPr>
        <w:pStyle w:val="FootnoteText"/>
        <w:jc w:val="left"/>
        <w:rPr>
          <w:lang w:val="fr-FR"/>
        </w:rPr>
      </w:pPr>
      <w:r>
        <w:rPr>
          <w:rStyle w:val="FootnoteReference"/>
        </w:rPr>
        <w:footnoteRef/>
      </w:r>
      <w:r w:rsidRPr="006C10E7">
        <w:rPr>
          <w:lang w:val="fr-FR"/>
        </w:rPr>
        <w:t xml:space="preserve"> </w:t>
      </w:r>
      <w:r w:rsidRPr="00AE7806">
        <w:rPr>
          <w:rFonts w:asciiTheme="majorBidi" w:hAnsiTheme="majorBidi" w:cstheme="majorBidi"/>
          <w:color w:val="000000" w:themeColor="text1"/>
          <w:lang w:val="es-ES_tradnl"/>
        </w:rPr>
        <w:t>Ibid</w:t>
      </w:r>
      <w:r>
        <w:rPr>
          <w:rFonts w:asciiTheme="majorBidi" w:hAnsiTheme="majorBidi" w:cstheme="majorBidi"/>
          <w:color w:val="000000" w:themeColor="text1"/>
          <w:lang w:val="es-ES_tradnl"/>
        </w:rPr>
        <w:t>.</w:t>
      </w:r>
    </w:p>
  </w:footnote>
  <w:footnote w:id="15">
    <w:p w14:paraId="75C8B94A" w14:textId="7B4DD55E" w:rsidR="006D2CB9" w:rsidRPr="006C10E7" w:rsidRDefault="006D2CB9" w:rsidP="00021ACF">
      <w:pPr>
        <w:pStyle w:val="FootnoteText"/>
        <w:jc w:val="left"/>
        <w:rPr>
          <w:lang w:val="fr-FR"/>
        </w:rPr>
      </w:pPr>
      <w:r>
        <w:rPr>
          <w:rStyle w:val="FootnoteReference"/>
        </w:rPr>
        <w:footnoteRef/>
      </w:r>
      <w:r w:rsidRPr="006C10E7">
        <w:rPr>
          <w:lang w:val="fr-FR"/>
        </w:rPr>
        <w:t xml:space="preserve"> </w:t>
      </w:r>
      <w:r w:rsidRPr="00AE7806">
        <w:rPr>
          <w:rFonts w:asciiTheme="majorBidi" w:hAnsiTheme="majorBidi" w:cstheme="majorBidi"/>
          <w:color w:val="000000" w:themeColor="text1"/>
          <w:lang w:val="es-ES_tradnl"/>
        </w:rPr>
        <w:t>Ibid, para. 48.</w:t>
      </w:r>
    </w:p>
  </w:footnote>
  <w:footnote w:id="16">
    <w:p w14:paraId="1BAEE271" w14:textId="71244546" w:rsidR="006D2CB9" w:rsidRDefault="006D2CB9" w:rsidP="00185E8D">
      <w:pPr>
        <w:pStyle w:val="FootnoteText"/>
        <w:jc w:val="left"/>
      </w:pPr>
      <w:r>
        <w:rPr>
          <w:rStyle w:val="FootnoteReference"/>
        </w:rPr>
        <w:footnoteRef/>
      </w:r>
      <w:r w:rsidRPr="00185E8D">
        <w:rPr>
          <w:lang w:val="fr-FR"/>
        </w:rPr>
        <w:t xml:space="preserve"> </w:t>
      </w:r>
      <w:r w:rsidRPr="00AE7806">
        <w:rPr>
          <w:rFonts w:asciiTheme="majorBidi" w:hAnsiTheme="majorBidi" w:cstheme="majorBidi"/>
          <w:i/>
          <w:iCs/>
          <w:color w:val="000000" w:themeColor="text1"/>
          <w:lang w:val="es-ES_tradnl"/>
        </w:rPr>
        <w:t>R. c. Pétroles Global inc.</w:t>
      </w:r>
      <w:r w:rsidRPr="00AE7806">
        <w:rPr>
          <w:rFonts w:asciiTheme="majorBidi" w:hAnsiTheme="majorBidi" w:cstheme="majorBidi"/>
          <w:color w:val="000000" w:themeColor="text1"/>
          <w:lang w:val="es-ES_tradnl"/>
        </w:rPr>
        <w:t xml:space="preserve">, 2013 QCCS 4262, para. </w:t>
      </w:r>
      <w:r w:rsidRPr="00AE7806">
        <w:rPr>
          <w:rFonts w:asciiTheme="majorBidi" w:hAnsiTheme="majorBidi" w:cstheme="majorBidi"/>
          <w:color w:val="000000" w:themeColor="text1"/>
        </w:rPr>
        <w:t>50 [translated from French by Sébastien Lafrance].</w:t>
      </w:r>
      <w:r w:rsidRPr="00AE7806">
        <w:rPr>
          <w:rFonts w:asciiTheme="majorBidi" w:hAnsiTheme="majorBidi" w:cstheme="majorBidi"/>
          <w:b/>
          <w:color w:val="000000" w:themeColor="text1"/>
        </w:rPr>
        <w:t xml:space="preserve"> </w:t>
      </w:r>
      <w:r w:rsidRPr="00AE7806">
        <w:rPr>
          <w:rFonts w:asciiTheme="majorBidi" w:hAnsiTheme="majorBidi" w:cstheme="majorBidi"/>
          <w:color w:val="000000" w:themeColor="text1"/>
          <w:spacing w:val="-3"/>
          <w:shd w:val="clear" w:color="auto" w:fill="FFFFFF"/>
        </w:rPr>
        <w:t xml:space="preserve">At least until 2017, “The Pétroles Global case is the only decision rendered following a trial in Canada where a court applied and interpreted the legislative scheme enacted in the </w:t>
      </w:r>
      <w:r w:rsidRPr="00AE7806">
        <w:rPr>
          <w:rFonts w:asciiTheme="majorBidi" w:hAnsiTheme="majorBidi" w:cstheme="majorBidi"/>
          <w:i/>
          <w:iCs/>
          <w:color w:val="000000" w:themeColor="text1"/>
          <w:spacing w:val="-3"/>
          <w:shd w:val="clear" w:color="auto" w:fill="FFFFFF"/>
        </w:rPr>
        <w:t xml:space="preserve">Criminal Code </w:t>
      </w:r>
      <w:r w:rsidRPr="00AE7806">
        <w:rPr>
          <w:rFonts w:asciiTheme="majorBidi" w:hAnsiTheme="majorBidi" w:cstheme="majorBidi"/>
          <w:color w:val="000000" w:themeColor="text1"/>
          <w:spacing w:val="-3"/>
          <w:shd w:val="clear" w:color="auto" w:fill="FFFFFF"/>
        </w:rPr>
        <w:t>in 2004”: Collins Hoffman,</w:t>
      </w:r>
      <w:r>
        <w:rPr>
          <w:rFonts w:asciiTheme="majorBidi" w:hAnsiTheme="majorBidi" w:cstheme="majorBidi"/>
          <w:color w:val="000000" w:themeColor="text1"/>
          <w:spacing w:val="-3"/>
          <w:shd w:val="clear" w:color="auto" w:fill="FFFFFF"/>
        </w:rPr>
        <w:t xml:space="preserve"> P.-C.,</w:t>
      </w:r>
      <w:r w:rsidRPr="00AE7806">
        <w:rPr>
          <w:rFonts w:asciiTheme="majorBidi" w:hAnsiTheme="majorBidi" w:cstheme="majorBidi"/>
          <w:color w:val="000000" w:themeColor="text1"/>
          <w:spacing w:val="-3"/>
          <w:shd w:val="clear" w:color="auto" w:fill="FFFFFF"/>
        </w:rPr>
        <w:t xml:space="preserve"> </w:t>
      </w:r>
      <w:r w:rsidRPr="00AE7806">
        <w:rPr>
          <w:rFonts w:asciiTheme="majorBidi" w:hAnsiTheme="majorBidi" w:cstheme="majorBidi"/>
          <w:i/>
          <w:iCs/>
          <w:color w:val="000000" w:themeColor="text1"/>
          <w:spacing w:val="-3"/>
          <w:shd w:val="clear" w:color="auto" w:fill="FFFFFF"/>
        </w:rPr>
        <w:t xml:space="preserve">L’intervention du législateur en matière de responsabilité criminelle des organisations au Canada: analyse de la portée, des lacunes et des incidences du régime codifié </w:t>
      </w:r>
      <w:r w:rsidRPr="00AE7806">
        <w:rPr>
          <w:rFonts w:asciiTheme="majorBidi" w:hAnsiTheme="majorBidi" w:cstheme="majorBidi"/>
          <w:color w:val="000000" w:themeColor="text1"/>
          <w:spacing w:val="-3"/>
          <w:shd w:val="clear" w:color="auto" w:fill="FFFFFF"/>
        </w:rPr>
        <w:t>[Legislative Intervention in Corporate Criminal Liability in Canada: Analysis of the Scope, Gaps and Implications of the Codified Regime], LL.M. Thesis, University of Montreal, 2017, p. 76 [translated from French by Sébastien Lafrance]</w:t>
      </w:r>
    </w:p>
  </w:footnote>
  <w:footnote w:id="17">
    <w:p w14:paraId="5D246834" w14:textId="2EDAC557" w:rsidR="006D2CB9" w:rsidRPr="00185E8D" w:rsidRDefault="006D2CB9" w:rsidP="00185E8D">
      <w:pPr>
        <w:pStyle w:val="FootnoteText"/>
        <w:jc w:val="left"/>
        <w:rPr>
          <w:lang w:val="fr-FR"/>
        </w:rPr>
      </w:pPr>
      <w:r>
        <w:rPr>
          <w:rStyle w:val="FootnoteReference"/>
        </w:rPr>
        <w:footnoteRef/>
      </w:r>
      <w:r w:rsidRPr="00185E8D">
        <w:rPr>
          <w:lang w:val="fr-FR"/>
        </w:rPr>
        <w:t xml:space="preserve"> </w:t>
      </w:r>
      <w:r w:rsidRPr="00185E8D">
        <w:rPr>
          <w:rFonts w:asciiTheme="majorBidi" w:hAnsiTheme="majorBidi" w:cstheme="majorBidi"/>
          <w:color w:val="000000" w:themeColor="text1"/>
          <w:lang w:val="fr-FR"/>
        </w:rPr>
        <w:t>[1985] 1 S.C.R. 662.</w:t>
      </w:r>
    </w:p>
  </w:footnote>
  <w:footnote w:id="18">
    <w:p w14:paraId="56CE62BD" w14:textId="09E73A15" w:rsidR="006D2CB9" w:rsidRDefault="006D2CB9" w:rsidP="00185E8D">
      <w:pPr>
        <w:pStyle w:val="FootnoteText"/>
        <w:jc w:val="left"/>
      </w:pPr>
      <w:r>
        <w:rPr>
          <w:rStyle w:val="FootnoteReference"/>
        </w:rPr>
        <w:footnoteRef/>
      </w:r>
      <w:r w:rsidRPr="00185E8D">
        <w:rPr>
          <w:lang w:val="fr-FR"/>
        </w:rPr>
        <w:t xml:space="preserve"> </w:t>
      </w:r>
      <w:r w:rsidRPr="00185E8D">
        <w:rPr>
          <w:rFonts w:asciiTheme="majorBidi" w:hAnsiTheme="majorBidi" w:cstheme="majorBidi"/>
          <w:i/>
          <w:iCs/>
          <w:color w:val="212529"/>
          <w:lang w:val="fr-FR"/>
        </w:rPr>
        <w:t>Livent Inc. v. Deloitte &amp; Touche</w:t>
      </w:r>
      <w:r w:rsidRPr="00185E8D">
        <w:rPr>
          <w:rFonts w:asciiTheme="majorBidi" w:hAnsiTheme="majorBidi" w:cstheme="majorBidi"/>
          <w:color w:val="212529"/>
          <w:lang w:val="fr-FR"/>
        </w:rPr>
        <w:t>, 2016 ONCA 11</w:t>
      </w:r>
      <w:r w:rsidRPr="00185E8D">
        <w:rPr>
          <w:rFonts w:asciiTheme="majorBidi" w:hAnsiTheme="majorBidi" w:cstheme="majorBidi"/>
          <w:lang w:val="fr-FR"/>
        </w:rPr>
        <w:t xml:space="preserve">, para. </w:t>
      </w:r>
      <w:r w:rsidRPr="00AE7806">
        <w:rPr>
          <w:rFonts w:asciiTheme="majorBidi" w:hAnsiTheme="majorBidi" w:cstheme="majorBidi"/>
        </w:rPr>
        <w:t>85. This decision of the Ontario Court of Appeal was appealed before the Supreme Court of Canada (see below), but not on this point.</w:t>
      </w:r>
    </w:p>
  </w:footnote>
  <w:footnote w:id="19">
    <w:p w14:paraId="617AF670" w14:textId="7095009D" w:rsidR="006D2CB9" w:rsidRDefault="006D2CB9" w:rsidP="00185E8D">
      <w:pPr>
        <w:pStyle w:val="FootnoteText"/>
        <w:jc w:val="left"/>
      </w:pPr>
      <w:r>
        <w:rPr>
          <w:rStyle w:val="FootnoteReference"/>
        </w:rPr>
        <w:footnoteRef/>
      </w:r>
      <w:r>
        <w:t xml:space="preserve"> </w:t>
      </w:r>
      <w:r w:rsidRPr="00AE7806">
        <w:rPr>
          <w:rFonts w:asciiTheme="majorBidi" w:hAnsiTheme="majorBidi" w:cstheme="majorBidi"/>
          <w:color w:val="000000" w:themeColor="text1"/>
        </w:rPr>
        <w:t xml:space="preserve">For example, see the decision of the Supreme Court of Canada in </w:t>
      </w:r>
      <w:r w:rsidRPr="00AE7806">
        <w:rPr>
          <w:rFonts w:asciiTheme="majorBidi" w:hAnsiTheme="majorBidi" w:cstheme="majorBidi"/>
          <w:i/>
          <w:iCs/>
          <w:color w:val="000000" w:themeColor="text1"/>
        </w:rPr>
        <w:t>Deloitte &amp; Touche v. Livent Inc. (Receiver of)</w:t>
      </w:r>
      <w:r w:rsidRPr="00AE7806">
        <w:rPr>
          <w:rFonts w:asciiTheme="majorBidi" w:hAnsiTheme="majorBidi" w:cstheme="majorBidi"/>
          <w:color w:val="000000" w:themeColor="text1"/>
        </w:rPr>
        <w:t>, [2017] 2 S</w:t>
      </w:r>
      <w:r>
        <w:rPr>
          <w:rFonts w:asciiTheme="majorBidi" w:hAnsiTheme="majorBidi" w:cstheme="majorBidi"/>
          <w:color w:val="000000" w:themeColor="text1"/>
        </w:rPr>
        <w:t>.</w:t>
      </w:r>
      <w:r w:rsidRPr="00AE7806">
        <w:rPr>
          <w:rFonts w:asciiTheme="majorBidi" w:hAnsiTheme="majorBidi" w:cstheme="majorBidi"/>
          <w:color w:val="000000" w:themeColor="text1"/>
        </w:rPr>
        <w:t>C</w:t>
      </w:r>
      <w:r>
        <w:rPr>
          <w:rFonts w:asciiTheme="majorBidi" w:hAnsiTheme="majorBidi" w:cstheme="majorBidi"/>
          <w:color w:val="000000" w:themeColor="text1"/>
        </w:rPr>
        <w:t>.</w:t>
      </w:r>
      <w:r w:rsidRPr="00AE7806">
        <w:rPr>
          <w:rFonts w:asciiTheme="majorBidi" w:hAnsiTheme="majorBidi" w:cstheme="majorBidi"/>
          <w:color w:val="000000" w:themeColor="text1"/>
        </w:rPr>
        <w:t>R</w:t>
      </w:r>
      <w:r>
        <w:rPr>
          <w:rFonts w:asciiTheme="majorBidi" w:hAnsiTheme="majorBidi" w:cstheme="majorBidi"/>
          <w:color w:val="000000" w:themeColor="text1"/>
        </w:rPr>
        <w:t>.</w:t>
      </w:r>
      <w:r w:rsidRPr="00AE7806">
        <w:rPr>
          <w:rFonts w:asciiTheme="majorBidi" w:hAnsiTheme="majorBidi" w:cstheme="majorBidi"/>
          <w:color w:val="000000" w:themeColor="text1"/>
        </w:rPr>
        <w:t xml:space="preserve"> 855, para. 104: “</w:t>
      </w:r>
      <w:r w:rsidRPr="00AE7806">
        <w:rPr>
          <w:rFonts w:asciiTheme="majorBidi" w:hAnsiTheme="majorBidi" w:cstheme="majorBidi"/>
          <w:color w:val="000000" w:themeColor="text1"/>
          <w:shd w:val="clear" w:color="auto" w:fill="FFFFFF"/>
        </w:rPr>
        <w:t>this Court’s decision in </w:t>
      </w:r>
      <w:r w:rsidRPr="00AE7806">
        <w:rPr>
          <w:rFonts w:asciiTheme="majorBidi" w:hAnsiTheme="majorBidi" w:cstheme="majorBidi"/>
          <w:i/>
          <w:iCs/>
          <w:color w:val="000000" w:themeColor="text1"/>
          <w:shd w:val="clear" w:color="auto" w:fill="FFFFFF"/>
        </w:rPr>
        <w:t>Canadian Dredge </w:t>
      </w:r>
      <w:r w:rsidRPr="00AE7806">
        <w:rPr>
          <w:rFonts w:asciiTheme="majorBidi" w:hAnsiTheme="majorBidi" w:cstheme="majorBidi"/>
          <w:color w:val="000000" w:themeColor="text1"/>
          <w:shd w:val="clear" w:color="auto" w:fill="FFFFFF"/>
        </w:rPr>
        <w:t>remains the authoritative test for the application of the corporate identification doctrine</w:t>
      </w:r>
      <w:r w:rsidRPr="00AE7806">
        <w:rPr>
          <w:rFonts w:asciiTheme="majorBidi" w:hAnsiTheme="majorBidi" w:cstheme="majorBidi"/>
          <w:color w:val="000000" w:themeColor="text1"/>
        </w:rPr>
        <w:t xml:space="preserve">”. See also </w:t>
      </w:r>
      <w:r w:rsidRPr="00AE7806">
        <w:rPr>
          <w:rFonts w:asciiTheme="majorBidi" w:hAnsiTheme="majorBidi" w:cstheme="majorBidi"/>
          <w:color w:val="000000"/>
        </w:rPr>
        <w:t xml:space="preserve">Lafrance S. (2019) ‘Trách nhiệm hình sự của doanh nghiệp tại Canada’ [Corporate criminal liability in Canada] in </w:t>
      </w:r>
      <w:r w:rsidRPr="00AE7806">
        <w:rPr>
          <w:rFonts w:asciiTheme="majorBidi" w:hAnsiTheme="majorBidi" w:cstheme="majorBidi"/>
          <w:color w:val="333333"/>
          <w:shd w:val="clear" w:color="auto" w:fill="FFFFFF"/>
        </w:rPr>
        <w:t>PGS.TS. Nguyễn Ngọc Chí (Chủ biên)</w:t>
      </w:r>
      <w:r w:rsidRPr="00AE7806">
        <w:rPr>
          <w:rFonts w:asciiTheme="majorBidi" w:hAnsiTheme="majorBidi" w:cstheme="majorBidi"/>
          <w:color w:val="000000"/>
        </w:rPr>
        <w:t xml:space="preserve"> </w:t>
      </w:r>
      <w:r w:rsidRPr="00AE7806">
        <w:rPr>
          <w:rFonts w:asciiTheme="majorBidi" w:hAnsiTheme="majorBidi" w:cstheme="majorBidi"/>
          <w:i/>
          <w:iCs/>
          <w:color w:val="000000"/>
        </w:rPr>
        <w:t xml:space="preserve">Thủ tục truy cứu trách nhiệm hình sự đối với pháp nhân thương mại và những vấn đề đặt ra khi thi hành Bộ luật Tố tụng hình sự (hiện hành) (Sách chuyên khảo) </w:t>
      </w:r>
      <w:r w:rsidRPr="00AE7806">
        <w:rPr>
          <w:rFonts w:asciiTheme="majorBidi" w:hAnsiTheme="majorBidi" w:cstheme="majorBidi"/>
          <w:color w:val="000000"/>
        </w:rPr>
        <w:t xml:space="preserve">[Procedures for criminal prosecution against commercial legal entities and issues raised when implementing the Criminal Procedure Code (current) (Monograph)], Nhà xuất bản Chính trị quốc gia Sư thật [National Political Publishing House], p. 391: “có vẻ như hiện nay lý thuyết đồng nhất hóa vẫn còn được nhiều Tòa án ở Canada áp dụng khi truy </w:t>
      </w:r>
      <w:r w:rsidRPr="00AE7806">
        <w:rPr>
          <w:rFonts w:asciiTheme="majorBidi" w:hAnsiTheme="majorBidi" w:cstheme="majorBidi"/>
          <w:bCs/>
          <w:color w:val="000000"/>
        </w:rPr>
        <w:t>cứu trách nhiệm hình sự pháp nhân.</w:t>
      </w:r>
      <w:r w:rsidRPr="00AE7806">
        <w:rPr>
          <w:rFonts w:asciiTheme="majorBidi" w:hAnsiTheme="majorBidi" w:cstheme="majorBidi"/>
          <w:color w:val="000000"/>
        </w:rPr>
        <w:t>” [It seems that nowadays the identification theory is still being applied by many Canadian courts when prosecuting criminal liability.] [translated from Vi</w:t>
      </w:r>
      <w:r>
        <w:rPr>
          <w:rFonts w:asciiTheme="majorBidi" w:hAnsiTheme="majorBidi" w:cstheme="majorBidi"/>
          <w:color w:val="000000"/>
        </w:rPr>
        <w:t>etnamese by Sébastien Lafrance].</w:t>
      </w:r>
    </w:p>
  </w:footnote>
  <w:footnote w:id="20">
    <w:p w14:paraId="1CA43472" w14:textId="3F060F29" w:rsidR="006D2CB9" w:rsidRDefault="006D2CB9" w:rsidP="00185E8D">
      <w:pPr>
        <w:pStyle w:val="FootnoteText"/>
        <w:jc w:val="left"/>
      </w:pPr>
      <w:r>
        <w:rPr>
          <w:rStyle w:val="FootnoteReference"/>
        </w:rPr>
        <w:footnoteRef/>
      </w:r>
      <w:r>
        <w:t xml:space="preserve"> </w:t>
      </w:r>
      <w:r w:rsidRPr="00AE7806">
        <w:rPr>
          <w:rFonts w:asciiTheme="majorBidi" w:hAnsiTheme="majorBidi" w:cstheme="majorBidi"/>
          <w:bCs/>
          <w:color w:val="000000" w:themeColor="text1"/>
        </w:rPr>
        <w:t>See, e.g.,</w:t>
      </w:r>
      <w:r w:rsidRPr="00AE7806">
        <w:rPr>
          <w:rFonts w:asciiTheme="majorBidi" w:hAnsiTheme="majorBidi" w:cstheme="majorBidi"/>
          <w:color w:val="000000" w:themeColor="text1"/>
        </w:rPr>
        <w:t xml:space="preserve"> </w:t>
      </w:r>
      <w:r w:rsidRPr="00AE7806">
        <w:rPr>
          <w:rFonts w:asciiTheme="majorBidi" w:hAnsiTheme="majorBidi" w:cstheme="majorBidi"/>
          <w:bCs/>
          <w:i/>
          <w:iCs/>
          <w:color w:val="000000" w:themeColor="text1"/>
        </w:rPr>
        <w:t>R. c. SNC-Lavalin international inc.</w:t>
      </w:r>
      <w:r w:rsidRPr="00AE7806">
        <w:rPr>
          <w:rFonts w:asciiTheme="majorBidi" w:hAnsiTheme="majorBidi" w:cstheme="majorBidi"/>
          <w:bCs/>
          <w:color w:val="000000" w:themeColor="text1"/>
        </w:rPr>
        <w:t xml:space="preserve">, 2019 QCCQ 7778, where the corporation SNC-Lavalin was, after a preliminary hearing was held, committed to stand trial pursuant to s. 3(1)b) of the </w:t>
      </w:r>
      <w:r w:rsidRPr="00AE7806">
        <w:rPr>
          <w:rFonts w:asciiTheme="majorBidi" w:hAnsiTheme="majorBidi" w:cstheme="majorBidi"/>
          <w:bCs/>
          <w:i/>
          <w:iCs/>
          <w:color w:val="000000" w:themeColor="text1"/>
        </w:rPr>
        <w:t>Corruption of Foreign Public Officials Act</w:t>
      </w:r>
      <w:r w:rsidRPr="00AE7806">
        <w:rPr>
          <w:rFonts w:asciiTheme="majorBidi" w:hAnsiTheme="majorBidi" w:cstheme="majorBidi"/>
          <w:bCs/>
          <w:color w:val="000000" w:themeColor="text1"/>
        </w:rPr>
        <w:t>, S.C. 1998, c. 34</w:t>
      </w:r>
      <w:r>
        <w:rPr>
          <w:rFonts w:asciiTheme="majorBidi" w:hAnsiTheme="majorBidi" w:cstheme="majorBidi"/>
          <w:bCs/>
          <w:color w:val="000000" w:themeColor="text1"/>
        </w:rPr>
        <w:t>.</w:t>
      </w:r>
    </w:p>
  </w:footnote>
  <w:footnote w:id="21">
    <w:p w14:paraId="41462AB4" w14:textId="35B95D0A" w:rsidR="006D2CB9" w:rsidRPr="006B396A" w:rsidRDefault="006D2CB9" w:rsidP="006B396A">
      <w:pPr>
        <w:pStyle w:val="FootnoteText"/>
        <w:jc w:val="left"/>
        <w:rPr>
          <w:lang w:val="fr-FR"/>
        </w:rPr>
      </w:pPr>
      <w:r>
        <w:rPr>
          <w:rStyle w:val="FootnoteReference"/>
        </w:rPr>
        <w:footnoteRef/>
      </w:r>
      <w:r>
        <w:t xml:space="preserve"> </w:t>
      </w:r>
      <w:r w:rsidRPr="00AE7806">
        <w:rPr>
          <w:rFonts w:asciiTheme="majorBidi" w:hAnsiTheme="majorBidi" w:cstheme="majorBidi"/>
          <w:i/>
          <w:iCs/>
          <w:color w:val="000000" w:themeColor="text1"/>
          <w:lang w:val="pt-BR"/>
        </w:rPr>
        <w:t>R. v. Hinchey</w:t>
      </w:r>
      <w:r w:rsidRPr="00AE7806">
        <w:rPr>
          <w:rFonts w:asciiTheme="majorBidi" w:hAnsiTheme="majorBidi" w:cstheme="majorBidi"/>
          <w:color w:val="000000" w:themeColor="text1"/>
          <w:lang w:val="pt-BR"/>
        </w:rPr>
        <w:t xml:space="preserve">, </w:t>
      </w:r>
      <w:r w:rsidRPr="00AE7806">
        <w:rPr>
          <w:rFonts w:asciiTheme="majorBidi" w:hAnsiTheme="majorBidi" w:cstheme="majorBidi"/>
          <w:i/>
          <w:iCs/>
          <w:color w:val="000000" w:themeColor="text1"/>
          <w:lang w:val="pt-BR"/>
        </w:rPr>
        <w:t>supra</w:t>
      </w:r>
      <w:r w:rsidRPr="00AE7806">
        <w:rPr>
          <w:rFonts w:asciiTheme="majorBidi" w:hAnsiTheme="majorBidi" w:cstheme="majorBidi"/>
          <w:color w:val="000000" w:themeColor="text1"/>
          <w:lang w:val="pt-BR"/>
        </w:rPr>
        <w:t xml:space="preserve">, para. </w:t>
      </w:r>
      <w:r w:rsidRPr="00977342">
        <w:rPr>
          <w:rFonts w:asciiTheme="majorBidi" w:hAnsiTheme="majorBidi" w:cstheme="majorBidi"/>
          <w:color w:val="000000" w:themeColor="text1"/>
          <w:lang w:val="es-ES_tradnl"/>
        </w:rPr>
        <w:t>13</w:t>
      </w:r>
      <w:r>
        <w:rPr>
          <w:rFonts w:asciiTheme="majorBidi" w:hAnsiTheme="majorBidi" w:cstheme="majorBidi"/>
          <w:color w:val="000000" w:themeColor="text1"/>
          <w:lang w:val="es-ES_tradnl"/>
        </w:rPr>
        <w:t>.</w:t>
      </w:r>
    </w:p>
  </w:footnote>
  <w:footnote w:id="22">
    <w:p w14:paraId="31C8EC50" w14:textId="313AE36C" w:rsidR="006D2CB9" w:rsidRPr="006B396A" w:rsidRDefault="006D2CB9" w:rsidP="006B396A">
      <w:pPr>
        <w:pStyle w:val="FootnoteText"/>
        <w:jc w:val="left"/>
        <w:rPr>
          <w:lang w:val="fr-FR"/>
        </w:rPr>
      </w:pPr>
      <w:r>
        <w:rPr>
          <w:rStyle w:val="FootnoteReference"/>
        </w:rPr>
        <w:footnoteRef/>
      </w:r>
      <w:r w:rsidRPr="006B396A">
        <w:rPr>
          <w:lang w:val="fr-FR"/>
        </w:rPr>
        <w:t xml:space="preserve"> </w:t>
      </w:r>
      <w:r w:rsidRPr="00977342">
        <w:rPr>
          <w:rFonts w:asciiTheme="majorBidi" w:hAnsiTheme="majorBidi" w:cstheme="majorBidi"/>
          <w:i/>
          <w:iCs/>
          <w:color w:val="212529"/>
          <w:lang w:val="es-ES_tradnl"/>
        </w:rPr>
        <w:t>R. v. Cogger</w:t>
      </w:r>
      <w:r w:rsidRPr="00977342">
        <w:rPr>
          <w:rFonts w:asciiTheme="majorBidi" w:hAnsiTheme="majorBidi" w:cstheme="majorBidi"/>
          <w:color w:val="212529"/>
          <w:lang w:val="es-ES_tradnl"/>
        </w:rPr>
        <w:t>, [1997] 2 S.C.R. 845</w:t>
      </w:r>
      <w:r w:rsidRPr="00977342">
        <w:rPr>
          <w:rFonts w:asciiTheme="majorBidi" w:hAnsiTheme="majorBidi" w:cstheme="majorBidi"/>
          <w:lang w:val="es-ES_tradnl"/>
        </w:rPr>
        <w:t>, para. 16.</w:t>
      </w:r>
    </w:p>
  </w:footnote>
  <w:footnote w:id="23">
    <w:p w14:paraId="6A9D5704" w14:textId="52CCDF34" w:rsidR="006D2CB9" w:rsidRPr="006B396A" w:rsidRDefault="006D2CB9" w:rsidP="006B396A">
      <w:pPr>
        <w:pStyle w:val="FootnoteText"/>
        <w:jc w:val="left"/>
        <w:rPr>
          <w:lang w:val="fr-FR"/>
        </w:rPr>
      </w:pPr>
      <w:r>
        <w:rPr>
          <w:rStyle w:val="FootnoteReference"/>
        </w:rPr>
        <w:footnoteRef/>
      </w:r>
      <w:r w:rsidRPr="006B396A">
        <w:rPr>
          <w:lang w:val="fr-FR"/>
        </w:rPr>
        <w:t xml:space="preserve"> </w:t>
      </w:r>
      <w:r w:rsidRPr="00AE7806">
        <w:rPr>
          <w:rFonts w:asciiTheme="majorBidi" w:hAnsiTheme="majorBidi" w:cstheme="majorBidi"/>
          <w:i/>
          <w:iCs/>
          <w:lang w:val="es-ES_tradnl"/>
        </w:rPr>
        <w:t>R. v. Carson</w:t>
      </w:r>
      <w:r w:rsidRPr="00AE7806">
        <w:rPr>
          <w:rFonts w:asciiTheme="majorBidi" w:hAnsiTheme="majorBidi" w:cstheme="majorBidi"/>
          <w:lang w:val="es-ES_tradnl"/>
        </w:rPr>
        <w:t>, [2018] 1 S.C.R. 269, paras 1 &amp; 38.</w:t>
      </w:r>
    </w:p>
  </w:footnote>
  <w:footnote w:id="24">
    <w:p w14:paraId="704C53A7" w14:textId="0CE0BA2B" w:rsidR="006D2CB9" w:rsidRPr="006B396A" w:rsidRDefault="006D2CB9" w:rsidP="006B396A">
      <w:pPr>
        <w:pStyle w:val="FootnoteText"/>
        <w:jc w:val="left"/>
      </w:pPr>
      <w:r>
        <w:rPr>
          <w:rStyle w:val="FootnoteReference"/>
        </w:rPr>
        <w:footnoteRef/>
      </w:r>
      <w:r w:rsidRPr="006B396A">
        <w:t xml:space="preserve"> </w:t>
      </w:r>
      <w:r w:rsidRPr="00977342">
        <w:rPr>
          <w:rFonts w:asciiTheme="majorBidi" w:hAnsiTheme="majorBidi" w:cstheme="majorBidi"/>
          <w:bCs/>
          <w:color w:val="000000" w:themeColor="text1"/>
        </w:rPr>
        <w:t>S.C. 1998, c. 34.</w:t>
      </w:r>
    </w:p>
  </w:footnote>
  <w:footnote w:id="25">
    <w:p w14:paraId="5F8BC945" w14:textId="695628D9" w:rsidR="006D2CB9" w:rsidRPr="006B396A" w:rsidRDefault="006D2CB9" w:rsidP="006B396A">
      <w:pPr>
        <w:pStyle w:val="FootnoteText"/>
        <w:jc w:val="left"/>
      </w:pPr>
      <w:r>
        <w:rPr>
          <w:rStyle w:val="FootnoteReference"/>
        </w:rPr>
        <w:footnoteRef/>
      </w:r>
      <w:r w:rsidRPr="006B396A">
        <w:t xml:space="preserve"> </w:t>
      </w:r>
      <w:r w:rsidRPr="00AE7806">
        <w:t xml:space="preserve">For more information about this Act, see, e.g., Harrington J. (2018), </w:t>
      </w:r>
      <w:r w:rsidRPr="00AE7806">
        <w:rPr>
          <w:i/>
          <w:iCs/>
        </w:rPr>
        <w:t>Addressing the Corruption of Foreign Public Officials: Developments and Challenges within the Canadian Legal Lands</w:t>
      </w:r>
      <w:r w:rsidRPr="00AE7806">
        <w:t xml:space="preserve">, The Canadian Yearbook of International Law, 56. </w:t>
      </w:r>
      <w:r w:rsidRPr="006B396A">
        <w:t xml:space="preserve"> </w:t>
      </w:r>
    </w:p>
  </w:footnote>
  <w:footnote w:id="26">
    <w:p w14:paraId="633417DB" w14:textId="4C771B10" w:rsidR="006D2CB9" w:rsidRPr="006B396A" w:rsidRDefault="006D2CB9" w:rsidP="006B396A">
      <w:pPr>
        <w:pStyle w:val="FootnoteText"/>
        <w:jc w:val="left"/>
      </w:pPr>
      <w:r>
        <w:rPr>
          <w:rStyle w:val="FootnoteReference"/>
        </w:rPr>
        <w:footnoteRef/>
      </w:r>
      <w:r w:rsidRPr="006B396A">
        <w:t xml:space="preserve"> </w:t>
      </w:r>
      <w:r w:rsidRPr="00AE7806">
        <w:rPr>
          <w:rFonts w:asciiTheme="majorBidi" w:hAnsiTheme="majorBidi" w:cstheme="majorBidi"/>
          <w:bCs/>
          <w:i/>
          <w:iCs/>
          <w:color w:val="212529"/>
          <w:lang w:val="sv-SE"/>
        </w:rPr>
        <w:t>R. v. Karigar,</w:t>
      </w:r>
      <w:r w:rsidRPr="00AE7806">
        <w:rPr>
          <w:rFonts w:asciiTheme="majorBidi" w:hAnsiTheme="majorBidi" w:cstheme="majorBidi"/>
          <w:bCs/>
          <w:color w:val="212529"/>
          <w:lang w:val="sv-SE"/>
        </w:rPr>
        <w:t xml:space="preserve"> 2014 ONSC 3093</w:t>
      </w:r>
      <w:r>
        <w:rPr>
          <w:rFonts w:asciiTheme="majorBidi" w:hAnsiTheme="majorBidi" w:cstheme="majorBidi"/>
          <w:bCs/>
          <w:color w:val="212529"/>
          <w:lang w:val="sv-SE"/>
        </w:rPr>
        <w:t>.</w:t>
      </w:r>
    </w:p>
  </w:footnote>
  <w:footnote w:id="27">
    <w:p w14:paraId="37287595" w14:textId="715ECFA7" w:rsidR="006D2CB9" w:rsidRDefault="006D2CB9" w:rsidP="006B396A">
      <w:pPr>
        <w:pStyle w:val="FootnoteText"/>
        <w:jc w:val="left"/>
      </w:pPr>
      <w:r>
        <w:rPr>
          <w:rStyle w:val="FootnoteReference"/>
        </w:rPr>
        <w:footnoteRef/>
      </w:r>
      <w:r>
        <w:t xml:space="preserve"> </w:t>
      </w:r>
      <w:r w:rsidRPr="00C033BC">
        <w:rPr>
          <w:rFonts w:asciiTheme="majorBidi" w:hAnsiTheme="majorBidi" w:cstheme="majorBidi"/>
          <w:bCs/>
          <w:color w:val="212529"/>
          <w:lang w:val="sv-SE"/>
        </w:rPr>
        <w:t>S.C. 2011, c. 10.</w:t>
      </w:r>
    </w:p>
  </w:footnote>
  <w:footnote w:id="28">
    <w:p w14:paraId="3620F0B3" w14:textId="1CE10BA5" w:rsidR="006D2CB9" w:rsidRDefault="006D2CB9" w:rsidP="004B3EC1">
      <w:pPr>
        <w:pStyle w:val="FootnoteText"/>
        <w:jc w:val="left"/>
      </w:pPr>
      <w:r>
        <w:rPr>
          <w:rStyle w:val="FootnoteReference"/>
        </w:rPr>
        <w:footnoteRef/>
      </w:r>
      <w:r>
        <w:t xml:space="preserve"> </w:t>
      </w:r>
      <w:r w:rsidRPr="00C073E3">
        <w:rPr>
          <w:rFonts w:asciiTheme="majorBidi" w:hAnsiTheme="majorBidi" w:cstheme="majorBidi"/>
          <w:i/>
          <w:iCs/>
          <w:color w:val="000000" w:themeColor="text1"/>
          <w:lang w:val="pt-BR"/>
        </w:rPr>
        <w:t>R. v. Hinchey</w:t>
      </w:r>
      <w:r w:rsidRPr="00C073E3">
        <w:rPr>
          <w:rFonts w:asciiTheme="majorBidi" w:hAnsiTheme="majorBidi" w:cstheme="majorBidi"/>
          <w:color w:val="000000" w:themeColor="text1"/>
          <w:lang w:val="pt-BR"/>
        </w:rPr>
        <w:t xml:space="preserve">, </w:t>
      </w:r>
      <w:r w:rsidRPr="00C073E3">
        <w:rPr>
          <w:rFonts w:asciiTheme="majorBidi" w:hAnsiTheme="majorBidi" w:cstheme="majorBidi"/>
          <w:i/>
          <w:iCs/>
          <w:color w:val="000000" w:themeColor="text1"/>
          <w:lang w:val="pt-BR"/>
        </w:rPr>
        <w:t>supra</w:t>
      </w:r>
      <w:r w:rsidRPr="00C073E3">
        <w:rPr>
          <w:rFonts w:asciiTheme="majorBidi" w:hAnsiTheme="majorBidi" w:cstheme="majorBidi"/>
          <w:color w:val="000000" w:themeColor="text1"/>
          <w:lang w:val="pt-BR"/>
        </w:rPr>
        <w:t xml:space="preserve">, para. </w:t>
      </w:r>
      <w:r>
        <w:rPr>
          <w:rFonts w:asciiTheme="majorBidi" w:hAnsiTheme="majorBidi" w:cstheme="majorBidi"/>
          <w:color w:val="000000" w:themeColor="text1"/>
        </w:rPr>
        <w:t>13.</w:t>
      </w:r>
    </w:p>
  </w:footnote>
  <w:footnote w:id="29">
    <w:p w14:paraId="5814CCA1" w14:textId="580EC786" w:rsidR="006D2CB9" w:rsidRDefault="006D2CB9" w:rsidP="004B3EC1">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 xml:space="preserve">Ottawa: Treasury Board of Canada, 2003. Retrieved from </w:t>
      </w:r>
      <w:hyperlink r:id="rId2" w:history="1">
        <w:r w:rsidRPr="00AE7806">
          <w:rPr>
            <w:rStyle w:val="Hyperlink"/>
            <w:rFonts w:asciiTheme="majorBidi" w:hAnsiTheme="majorBidi" w:cstheme="majorBidi"/>
            <w:color w:val="000000" w:themeColor="text1"/>
            <w:lang w:val="en-CA"/>
          </w:rPr>
          <w:t>https://www.tbs-sct.gc.ca/pol/doc-eng.aspx?id=25049</w:t>
        </w:r>
      </w:hyperlink>
      <w:r>
        <w:rPr>
          <w:rStyle w:val="Hyperlink"/>
          <w:rFonts w:asciiTheme="majorBidi" w:hAnsiTheme="majorBidi" w:cstheme="majorBidi"/>
          <w:color w:val="000000" w:themeColor="text1"/>
          <w:lang w:val="en-CA"/>
        </w:rPr>
        <w:t xml:space="preserve"> </w:t>
      </w:r>
    </w:p>
  </w:footnote>
  <w:footnote w:id="30">
    <w:p w14:paraId="4C9CB828" w14:textId="27262681" w:rsidR="006D2CB9" w:rsidRDefault="006D2CB9" w:rsidP="004B3EC1">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 xml:space="preserve">Retrieved from </w:t>
      </w:r>
      <w:hyperlink r:id="rId3" w:history="1">
        <w:r w:rsidRPr="00AE7806">
          <w:rPr>
            <w:rStyle w:val="Hyperlink"/>
            <w:rFonts w:asciiTheme="majorBidi" w:hAnsiTheme="majorBidi" w:cstheme="majorBidi"/>
            <w:color w:val="000000" w:themeColor="text1"/>
            <w:lang w:val="en-CA"/>
          </w:rPr>
          <w:t>http://publications.gc.ca/collections/collection_2011/bcp-pco/CP1-3-2011-eng.pdf</w:t>
        </w:r>
      </w:hyperlink>
      <w:r w:rsidRPr="00AE7806">
        <w:rPr>
          <w:rFonts w:asciiTheme="majorBidi" w:hAnsiTheme="majorBidi" w:cstheme="majorBidi"/>
          <w:color w:val="000000" w:themeColor="text1"/>
          <w:lang w:val="en-CA"/>
        </w:rPr>
        <w:t>.</w:t>
      </w:r>
    </w:p>
  </w:footnote>
  <w:footnote w:id="31">
    <w:p w14:paraId="5AC8B5E5" w14:textId="2316CD3A" w:rsidR="006D2CB9" w:rsidRDefault="006D2CB9" w:rsidP="004B3EC1">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S.C. 2006, c. 9, s. 2.</w:t>
      </w:r>
    </w:p>
  </w:footnote>
  <w:footnote w:id="32">
    <w:p w14:paraId="45447A4D" w14:textId="773E82C3" w:rsidR="006D2CB9" w:rsidRDefault="006D2CB9" w:rsidP="004B3EC1">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R.S.C. 1985, c. 44 (4th Supp).</w:t>
      </w:r>
    </w:p>
  </w:footnote>
  <w:footnote w:id="33">
    <w:p w14:paraId="72024514" w14:textId="43759D66" w:rsidR="006D2CB9" w:rsidRDefault="006D2CB9" w:rsidP="004B3EC1">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S.C. 2005, c. 46.</w:t>
      </w:r>
    </w:p>
  </w:footnote>
  <w:footnote w:id="34">
    <w:p w14:paraId="48FF92E4" w14:textId="77777777" w:rsidR="006D2CB9" w:rsidRPr="00AE7806" w:rsidRDefault="006D2CB9" w:rsidP="004B3EC1">
      <w:pPr>
        <w:pStyle w:val="FootnoteText"/>
        <w:jc w:val="left"/>
        <w:rPr>
          <w:rFonts w:asciiTheme="majorBidi" w:hAnsiTheme="majorBidi" w:cstheme="majorBidi"/>
          <w:color w:val="000000" w:themeColor="text1"/>
          <w:lang w:val="en-CA"/>
        </w:rPr>
      </w:pPr>
      <w:r>
        <w:rPr>
          <w:rStyle w:val="FootnoteReference"/>
        </w:rPr>
        <w:footnoteRef/>
      </w:r>
      <w:r>
        <w:t xml:space="preserve"> </w:t>
      </w:r>
      <w:r w:rsidRPr="00AE7806">
        <w:rPr>
          <w:rFonts w:asciiTheme="majorBidi" w:hAnsiTheme="majorBidi" w:cstheme="majorBidi"/>
          <w:color w:val="000000" w:themeColor="text1"/>
          <w:lang w:val="en-CA"/>
        </w:rPr>
        <w:t xml:space="preserve">Standing Orders of the House of Commons - Consolidated version as of December 11, 2019, ‘Conflict of Interest Code for Members of the House of Commons’. Retrieved from </w:t>
      </w:r>
    </w:p>
    <w:p w14:paraId="0C70EC6C" w14:textId="05644B1E" w:rsidR="006D2CB9" w:rsidRDefault="00572E50" w:rsidP="004B3EC1">
      <w:pPr>
        <w:pStyle w:val="FootnoteText"/>
        <w:jc w:val="left"/>
      </w:pPr>
      <w:hyperlink r:id="rId4" w:history="1">
        <w:r w:rsidR="006D2CB9" w:rsidRPr="00AE7806">
          <w:rPr>
            <w:rStyle w:val="Hyperlink"/>
            <w:rFonts w:asciiTheme="majorBidi" w:hAnsiTheme="majorBidi" w:cstheme="majorBidi"/>
            <w:color w:val="000000" w:themeColor="text1"/>
            <w:lang w:val="en-CA"/>
          </w:rPr>
          <w:t>https://www.noscommunes.ca/About/StandingOrders/appa1-e.htm</w:t>
        </w:r>
      </w:hyperlink>
      <w:r w:rsidR="006D2CB9">
        <w:rPr>
          <w:rStyle w:val="Hyperlink"/>
          <w:rFonts w:asciiTheme="majorBidi" w:hAnsiTheme="majorBidi" w:cstheme="majorBidi"/>
          <w:color w:val="000000" w:themeColor="text1"/>
          <w:lang w:val="en-CA"/>
        </w:rPr>
        <w:t>.</w:t>
      </w:r>
    </w:p>
  </w:footnote>
  <w:footnote w:id="35">
    <w:p w14:paraId="73DF3DF8" w14:textId="1E6D262C" w:rsidR="006D2CB9" w:rsidRDefault="006D2CB9" w:rsidP="004B3EC1">
      <w:pPr>
        <w:pStyle w:val="FootnoteText"/>
        <w:jc w:val="left"/>
      </w:pPr>
      <w:r>
        <w:rPr>
          <w:rStyle w:val="FootnoteReference"/>
        </w:rPr>
        <w:footnoteRef/>
      </w:r>
      <w:r>
        <w:t xml:space="preserve"> </w:t>
      </w:r>
      <w:r w:rsidRPr="00AE7806">
        <w:rPr>
          <w:rFonts w:asciiTheme="majorBidi" w:hAnsiTheme="majorBidi" w:cstheme="majorBidi"/>
          <w:color w:val="000000" w:themeColor="text1"/>
          <w:lang w:val="en-CA"/>
        </w:rPr>
        <w:t xml:space="preserve">Lafrance S. (2020), ‘The Rules Applicable to Conflicts of Interests for Canadian State Representatives’, </w:t>
      </w:r>
      <w:r w:rsidRPr="00AE7806">
        <w:rPr>
          <w:rFonts w:asciiTheme="majorBidi" w:hAnsiTheme="majorBidi" w:cstheme="majorBidi"/>
          <w:i/>
          <w:color w:val="000000" w:themeColor="text1"/>
          <w:lang w:val="en-CA"/>
        </w:rPr>
        <w:t>Vietnam Journal of Legal Sciences</w:t>
      </w:r>
      <w:r w:rsidRPr="00AE7806">
        <w:rPr>
          <w:rFonts w:asciiTheme="majorBidi" w:hAnsiTheme="majorBidi" w:cstheme="majorBidi"/>
          <w:color w:val="000000" w:themeColor="text1"/>
          <w:lang w:val="en-CA"/>
        </w:rPr>
        <w:t>,</w:t>
      </w:r>
      <w:r w:rsidRPr="00AE7806">
        <w:rPr>
          <w:rFonts w:asciiTheme="majorBidi" w:hAnsiTheme="majorBidi" w:cstheme="majorBidi"/>
          <w:i/>
          <w:color w:val="000000" w:themeColor="text1"/>
          <w:lang w:val="en-CA"/>
        </w:rPr>
        <w:t xml:space="preserve"> </w:t>
      </w:r>
      <w:r w:rsidRPr="00AE7806">
        <w:rPr>
          <w:rFonts w:asciiTheme="majorBidi" w:hAnsiTheme="majorBidi" w:cstheme="majorBidi"/>
          <w:iCs/>
          <w:color w:val="000000" w:themeColor="text1"/>
          <w:lang w:val="en-CA"/>
        </w:rPr>
        <w:t>2</w:t>
      </w:r>
      <w:r w:rsidRPr="00AE7806">
        <w:rPr>
          <w:rFonts w:asciiTheme="majorBidi" w:hAnsiTheme="majorBidi" w:cstheme="majorBidi"/>
          <w:color w:val="000000" w:themeColor="text1"/>
          <w:lang w:val="en-CA"/>
        </w:rPr>
        <w:t>(2) (</w:t>
      </w:r>
      <w:r w:rsidRPr="00AE7806">
        <w:rPr>
          <w:rFonts w:asciiTheme="majorBidi" w:hAnsiTheme="majorBidi" w:cstheme="majorBidi"/>
          <w:iCs/>
          <w:color w:val="000000" w:themeColor="text1"/>
          <w:lang w:val="en-CA"/>
        </w:rPr>
        <w:t>forthcoming</w:t>
      </w:r>
      <w:r w:rsidRPr="00AE7806">
        <w:rPr>
          <w:rFonts w:asciiTheme="majorBidi" w:hAnsiTheme="majorBidi" w:cstheme="majorBidi"/>
          <w:i/>
          <w:color w:val="000000" w:themeColor="text1"/>
          <w:lang w:val="en-CA"/>
        </w:rPr>
        <w:t xml:space="preserve"> </w:t>
      </w:r>
      <w:r w:rsidRPr="00AE7806">
        <w:rPr>
          <w:rFonts w:asciiTheme="majorBidi" w:hAnsiTheme="majorBidi" w:cstheme="majorBidi"/>
          <w:color w:val="000000" w:themeColor="text1"/>
          <w:lang w:val="en-CA"/>
        </w:rPr>
        <w:t>– December 2020)</w:t>
      </w:r>
      <w:r>
        <w:rPr>
          <w:rFonts w:asciiTheme="majorBidi" w:hAnsiTheme="majorBidi" w:cstheme="majorBidi"/>
          <w:color w:val="000000" w:themeColor="text1"/>
          <w:lang w:val="en-CA"/>
        </w:rPr>
        <w:t>.</w:t>
      </w:r>
    </w:p>
  </w:footnote>
  <w:footnote w:id="36">
    <w:p w14:paraId="2772B7CB" w14:textId="105E486B" w:rsidR="006D2CB9" w:rsidRDefault="006D2CB9" w:rsidP="004B3EC1">
      <w:pPr>
        <w:pStyle w:val="FootnoteText"/>
        <w:jc w:val="left"/>
      </w:pPr>
      <w:r>
        <w:rPr>
          <w:rStyle w:val="FootnoteReference"/>
        </w:rPr>
        <w:footnoteRef/>
      </w:r>
      <w:r>
        <w:t xml:space="preserve"> </w:t>
      </w:r>
      <w:r w:rsidRPr="00AE7806">
        <w:rPr>
          <w:rFonts w:asciiTheme="majorBidi" w:eastAsia="SimSun" w:hAnsiTheme="majorBidi" w:cstheme="majorBidi"/>
          <w:color w:val="000000" w:themeColor="text1"/>
          <w:lang w:val="en-CA"/>
        </w:rPr>
        <w:t xml:space="preserve">Dion, M. (2018), </w:t>
      </w:r>
      <w:r w:rsidRPr="00AE7806">
        <w:rPr>
          <w:rFonts w:asciiTheme="majorBidi" w:hAnsiTheme="majorBidi" w:cstheme="majorBidi"/>
          <w:color w:val="000000" w:themeColor="text1"/>
          <w:shd w:val="clear" w:color="auto" w:fill="FFFFFF"/>
          <w:lang w:val="en-CA"/>
        </w:rPr>
        <w:t>Conflict of Interest and Ethics Commissioner</w:t>
      </w:r>
      <w:r w:rsidRPr="00AE7806">
        <w:rPr>
          <w:rFonts w:asciiTheme="majorBidi" w:eastAsia="SimSun" w:hAnsiTheme="majorBidi" w:cstheme="majorBidi"/>
          <w:color w:val="000000" w:themeColor="text1"/>
          <w:lang w:val="en-CA"/>
        </w:rPr>
        <w:t xml:space="preserve">, </w:t>
      </w:r>
      <w:r w:rsidRPr="00AE7806">
        <w:rPr>
          <w:rFonts w:asciiTheme="majorBidi" w:eastAsia="SimSun" w:hAnsiTheme="majorBidi" w:cstheme="majorBidi"/>
          <w:i/>
          <w:iCs/>
          <w:color w:val="000000" w:themeColor="text1"/>
          <w:lang w:val="en-CA"/>
        </w:rPr>
        <w:t>L’évolution de l’approche fédérale en matière d’éthique: événements déterminants, bilan et perspectives</w:t>
      </w:r>
      <w:r w:rsidRPr="00AE7806">
        <w:rPr>
          <w:rFonts w:asciiTheme="majorBidi" w:eastAsia="SimSun" w:hAnsiTheme="majorBidi" w:cstheme="majorBidi"/>
          <w:color w:val="000000" w:themeColor="text1"/>
          <w:lang w:val="en-CA"/>
        </w:rPr>
        <w:t xml:space="preserve"> [The evolution of the federal approach to ethics, decisive events, results and perspectives], McLaughlin College, York University, Toronto, Ontario, Canada, </w:t>
      </w:r>
      <w:r w:rsidRPr="00AE7806">
        <w:rPr>
          <w:rFonts w:asciiTheme="majorBidi" w:hAnsiTheme="majorBidi" w:cstheme="majorBidi"/>
          <w:color w:val="000000" w:themeColor="text1"/>
          <w:lang w:val="en-CA"/>
        </w:rPr>
        <w:t>p.</w:t>
      </w:r>
      <w:r w:rsidRPr="00AE7806">
        <w:rPr>
          <w:rFonts w:asciiTheme="majorBidi" w:eastAsia="SimSun" w:hAnsiTheme="majorBidi" w:cstheme="majorBidi"/>
          <w:color w:val="000000" w:themeColor="text1"/>
          <w:lang w:val="en-CA"/>
        </w:rPr>
        <w:t xml:space="preserve"> 11</w:t>
      </w:r>
      <w:r>
        <w:rPr>
          <w:rFonts w:asciiTheme="majorBidi" w:eastAsia="SimSun" w:hAnsiTheme="majorBidi" w:cstheme="majorBidi"/>
          <w:color w:val="000000" w:themeColor="text1"/>
          <w:lang w:val="en-CA"/>
        </w:rPr>
        <w:t>.</w:t>
      </w:r>
    </w:p>
  </w:footnote>
  <w:footnote w:id="37">
    <w:p w14:paraId="3C2E3CF1" w14:textId="0E77FB12" w:rsidR="006D2CB9" w:rsidRDefault="006D2CB9" w:rsidP="008E21E8">
      <w:pPr>
        <w:pStyle w:val="FootnoteText"/>
        <w:jc w:val="left"/>
      </w:pPr>
      <w:r>
        <w:rPr>
          <w:rStyle w:val="FootnoteReference"/>
        </w:rPr>
        <w:footnoteRef/>
      </w:r>
      <w:r>
        <w:t xml:space="preserve"> </w:t>
      </w:r>
      <w:r w:rsidRPr="00AE7806">
        <w:rPr>
          <w:rFonts w:asciiTheme="majorBidi" w:hAnsiTheme="majorBidi" w:cstheme="majorBidi"/>
          <w:bCs/>
          <w:i/>
          <w:iCs/>
          <w:color w:val="212529"/>
          <w:lang w:val="en-CA"/>
        </w:rPr>
        <w:t>R. v. Riesberry</w:t>
      </w:r>
      <w:r w:rsidRPr="00AE7806">
        <w:rPr>
          <w:rFonts w:asciiTheme="majorBidi" w:hAnsiTheme="majorBidi" w:cstheme="majorBidi"/>
          <w:bCs/>
          <w:color w:val="212529"/>
          <w:lang w:val="en-CA"/>
        </w:rPr>
        <w:t>, [2015] 3 S</w:t>
      </w:r>
      <w:r>
        <w:rPr>
          <w:rFonts w:asciiTheme="majorBidi" w:hAnsiTheme="majorBidi" w:cstheme="majorBidi"/>
          <w:bCs/>
          <w:color w:val="212529"/>
          <w:lang w:val="en-CA"/>
        </w:rPr>
        <w:t>.</w:t>
      </w:r>
      <w:r w:rsidRPr="00AE7806">
        <w:rPr>
          <w:rFonts w:asciiTheme="majorBidi" w:hAnsiTheme="majorBidi" w:cstheme="majorBidi"/>
          <w:bCs/>
          <w:color w:val="212529"/>
          <w:lang w:val="en-CA"/>
        </w:rPr>
        <w:t>C</w:t>
      </w:r>
      <w:r>
        <w:rPr>
          <w:rFonts w:asciiTheme="majorBidi" w:hAnsiTheme="majorBidi" w:cstheme="majorBidi"/>
          <w:bCs/>
          <w:color w:val="212529"/>
          <w:lang w:val="en-CA"/>
        </w:rPr>
        <w:t>.</w:t>
      </w:r>
      <w:r w:rsidRPr="00AE7806">
        <w:rPr>
          <w:rFonts w:asciiTheme="majorBidi" w:hAnsiTheme="majorBidi" w:cstheme="majorBidi"/>
          <w:bCs/>
          <w:color w:val="212529"/>
          <w:lang w:val="en-CA"/>
        </w:rPr>
        <w:t>R</w:t>
      </w:r>
      <w:r>
        <w:rPr>
          <w:rFonts w:asciiTheme="majorBidi" w:hAnsiTheme="majorBidi" w:cstheme="majorBidi"/>
          <w:bCs/>
          <w:color w:val="212529"/>
          <w:lang w:val="en-CA"/>
        </w:rPr>
        <w:t>.</w:t>
      </w:r>
      <w:r w:rsidRPr="00AE7806">
        <w:rPr>
          <w:rFonts w:asciiTheme="majorBidi" w:hAnsiTheme="majorBidi" w:cstheme="majorBidi"/>
          <w:bCs/>
          <w:color w:val="212529"/>
          <w:lang w:val="en-CA"/>
        </w:rPr>
        <w:t xml:space="preserve"> 1167;</w:t>
      </w:r>
      <w:r w:rsidRPr="00AE7806">
        <w:rPr>
          <w:rFonts w:asciiTheme="majorBidi" w:hAnsiTheme="majorBidi" w:cstheme="majorBidi"/>
          <w:color w:val="212529"/>
          <w:lang w:val="en-CA"/>
        </w:rPr>
        <w:t xml:space="preserve"> </w:t>
      </w:r>
      <w:r w:rsidRPr="00AE7806">
        <w:rPr>
          <w:rFonts w:asciiTheme="majorBidi" w:hAnsiTheme="majorBidi" w:cstheme="majorBidi"/>
          <w:bCs/>
          <w:i/>
          <w:iCs/>
          <w:color w:val="212529"/>
          <w:lang w:val="en-CA"/>
        </w:rPr>
        <w:t>R. v. Théroux</w:t>
      </w:r>
      <w:r w:rsidRPr="00AE7806">
        <w:rPr>
          <w:rFonts w:asciiTheme="majorBidi" w:hAnsiTheme="majorBidi" w:cstheme="majorBidi"/>
          <w:bCs/>
          <w:color w:val="212529"/>
          <w:lang w:val="en-CA"/>
        </w:rPr>
        <w:t>, [1993] 2 S</w:t>
      </w:r>
      <w:r>
        <w:rPr>
          <w:rFonts w:asciiTheme="majorBidi" w:hAnsiTheme="majorBidi" w:cstheme="majorBidi"/>
          <w:bCs/>
          <w:color w:val="212529"/>
          <w:lang w:val="en-CA"/>
        </w:rPr>
        <w:t>.</w:t>
      </w:r>
      <w:r w:rsidRPr="00AE7806">
        <w:rPr>
          <w:rFonts w:asciiTheme="majorBidi" w:hAnsiTheme="majorBidi" w:cstheme="majorBidi"/>
          <w:bCs/>
          <w:color w:val="212529"/>
          <w:lang w:val="en-CA"/>
        </w:rPr>
        <w:t>C</w:t>
      </w:r>
      <w:r>
        <w:rPr>
          <w:rFonts w:asciiTheme="majorBidi" w:hAnsiTheme="majorBidi" w:cstheme="majorBidi"/>
          <w:bCs/>
          <w:color w:val="212529"/>
          <w:lang w:val="en-CA"/>
        </w:rPr>
        <w:t>.</w:t>
      </w:r>
      <w:r w:rsidRPr="00AE7806">
        <w:rPr>
          <w:rFonts w:asciiTheme="majorBidi" w:hAnsiTheme="majorBidi" w:cstheme="majorBidi"/>
          <w:bCs/>
          <w:color w:val="212529"/>
          <w:lang w:val="en-CA"/>
        </w:rPr>
        <w:t>R</w:t>
      </w:r>
      <w:r>
        <w:rPr>
          <w:rFonts w:asciiTheme="majorBidi" w:hAnsiTheme="majorBidi" w:cstheme="majorBidi"/>
          <w:bCs/>
          <w:color w:val="212529"/>
          <w:lang w:val="en-CA"/>
        </w:rPr>
        <w:t>.</w:t>
      </w:r>
      <w:r w:rsidRPr="00AE7806">
        <w:rPr>
          <w:rFonts w:asciiTheme="majorBidi" w:hAnsiTheme="majorBidi" w:cstheme="majorBidi"/>
          <w:bCs/>
          <w:color w:val="212529"/>
          <w:lang w:val="en-CA"/>
        </w:rPr>
        <w:t xml:space="preserve"> 5;</w:t>
      </w:r>
      <w:r w:rsidRPr="00AE7806">
        <w:rPr>
          <w:rFonts w:asciiTheme="majorBidi" w:hAnsiTheme="majorBidi" w:cstheme="majorBidi"/>
          <w:color w:val="212529"/>
          <w:lang w:val="en-CA"/>
        </w:rPr>
        <w:t xml:space="preserve"> </w:t>
      </w:r>
      <w:r w:rsidRPr="00AE7806">
        <w:rPr>
          <w:rFonts w:asciiTheme="majorBidi" w:hAnsiTheme="majorBidi" w:cstheme="majorBidi"/>
          <w:bCs/>
          <w:i/>
          <w:iCs/>
          <w:color w:val="212529"/>
        </w:rPr>
        <w:t>R. v. Zlatic</w:t>
      </w:r>
      <w:r w:rsidRPr="00AE7806">
        <w:rPr>
          <w:rFonts w:asciiTheme="majorBidi" w:hAnsiTheme="majorBidi" w:cstheme="majorBidi"/>
          <w:bCs/>
          <w:color w:val="212529"/>
        </w:rPr>
        <w:t>, [1993] 2 S</w:t>
      </w:r>
      <w:r>
        <w:rPr>
          <w:rFonts w:asciiTheme="majorBidi" w:hAnsiTheme="majorBidi" w:cstheme="majorBidi"/>
          <w:bCs/>
          <w:color w:val="212529"/>
        </w:rPr>
        <w:t>.</w:t>
      </w:r>
      <w:r w:rsidRPr="00AE7806">
        <w:rPr>
          <w:rFonts w:asciiTheme="majorBidi" w:hAnsiTheme="majorBidi" w:cstheme="majorBidi"/>
          <w:bCs/>
          <w:color w:val="212529"/>
        </w:rPr>
        <w:t>C</w:t>
      </w:r>
      <w:r>
        <w:rPr>
          <w:rFonts w:asciiTheme="majorBidi" w:hAnsiTheme="majorBidi" w:cstheme="majorBidi"/>
          <w:bCs/>
          <w:color w:val="212529"/>
        </w:rPr>
        <w:t>.</w:t>
      </w:r>
      <w:r w:rsidRPr="00AE7806">
        <w:rPr>
          <w:rFonts w:asciiTheme="majorBidi" w:hAnsiTheme="majorBidi" w:cstheme="majorBidi"/>
          <w:bCs/>
          <w:color w:val="212529"/>
        </w:rPr>
        <w:t>R</w:t>
      </w:r>
      <w:r>
        <w:rPr>
          <w:rFonts w:asciiTheme="majorBidi" w:hAnsiTheme="majorBidi" w:cstheme="majorBidi"/>
          <w:bCs/>
          <w:color w:val="212529"/>
        </w:rPr>
        <w:t>.</w:t>
      </w:r>
      <w:r w:rsidRPr="00AE7806">
        <w:rPr>
          <w:rFonts w:asciiTheme="majorBidi" w:hAnsiTheme="majorBidi" w:cstheme="majorBidi"/>
          <w:bCs/>
          <w:color w:val="212529"/>
        </w:rPr>
        <w:t xml:space="preserve"> 29; </w:t>
      </w:r>
      <w:r w:rsidRPr="00AE7806">
        <w:rPr>
          <w:rFonts w:asciiTheme="majorBidi" w:hAnsiTheme="majorBidi" w:cstheme="majorBidi"/>
          <w:bCs/>
          <w:i/>
          <w:iCs/>
          <w:color w:val="212529"/>
          <w:lang w:val="en-CA"/>
        </w:rPr>
        <w:t>R. v. Olan et al.</w:t>
      </w:r>
      <w:r w:rsidRPr="00AE7806">
        <w:rPr>
          <w:rFonts w:asciiTheme="majorBidi" w:hAnsiTheme="majorBidi" w:cstheme="majorBidi"/>
          <w:bCs/>
          <w:color w:val="212529"/>
          <w:lang w:val="en-CA"/>
        </w:rPr>
        <w:t>, [1978] 2 S</w:t>
      </w:r>
      <w:r>
        <w:rPr>
          <w:rFonts w:asciiTheme="majorBidi" w:hAnsiTheme="majorBidi" w:cstheme="majorBidi"/>
          <w:bCs/>
          <w:color w:val="212529"/>
          <w:lang w:val="en-CA"/>
        </w:rPr>
        <w:t>.</w:t>
      </w:r>
      <w:r w:rsidRPr="00AE7806">
        <w:rPr>
          <w:rFonts w:asciiTheme="majorBidi" w:hAnsiTheme="majorBidi" w:cstheme="majorBidi"/>
          <w:bCs/>
          <w:color w:val="212529"/>
          <w:lang w:val="en-CA"/>
        </w:rPr>
        <w:t>C</w:t>
      </w:r>
      <w:r>
        <w:rPr>
          <w:rFonts w:asciiTheme="majorBidi" w:hAnsiTheme="majorBidi" w:cstheme="majorBidi"/>
          <w:bCs/>
          <w:color w:val="212529"/>
          <w:lang w:val="en-CA"/>
        </w:rPr>
        <w:t>.</w:t>
      </w:r>
      <w:r w:rsidRPr="00AE7806">
        <w:rPr>
          <w:rFonts w:asciiTheme="majorBidi" w:hAnsiTheme="majorBidi" w:cstheme="majorBidi"/>
          <w:bCs/>
          <w:color w:val="212529"/>
          <w:lang w:val="en-CA"/>
        </w:rPr>
        <w:t>R</w:t>
      </w:r>
      <w:r>
        <w:rPr>
          <w:rFonts w:asciiTheme="majorBidi" w:hAnsiTheme="majorBidi" w:cstheme="majorBidi"/>
          <w:bCs/>
          <w:color w:val="212529"/>
          <w:lang w:val="en-CA"/>
        </w:rPr>
        <w:t>.</w:t>
      </w:r>
      <w:r w:rsidRPr="00AE7806">
        <w:rPr>
          <w:rFonts w:asciiTheme="majorBidi" w:hAnsiTheme="majorBidi" w:cstheme="majorBidi"/>
          <w:bCs/>
          <w:color w:val="212529"/>
          <w:lang w:val="en-CA"/>
        </w:rPr>
        <w:t xml:space="preserve"> 1175</w:t>
      </w:r>
      <w:r>
        <w:rPr>
          <w:rFonts w:asciiTheme="majorBidi" w:hAnsiTheme="majorBidi" w:cstheme="majorBidi"/>
          <w:bCs/>
          <w:color w:val="212529"/>
          <w:lang w:val="en-CA"/>
        </w:rPr>
        <w:t>.</w:t>
      </w:r>
    </w:p>
  </w:footnote>
  <w:footnote w:id="38">
    <w:p w14:paraId="1D2AF942" w14:textId="70A6E382" w:rsidR="006D2CB9" w:rsidRDefault="006D2CB9" w:rsidP="007C1C68">
      <w:pPr>
        <w:pStyle w:val="FootnoteText"/>
        <w:jc w:val="left"/>
      </w:pPr>
      <w:r>
        <w:rPr>
          <w:rStyle w:val="FootnoteReference"/>
        </w:rPr>
        <w:footnoteRef/>
      </w:r>
      <w:r>
        <w:t xml:space="preserve"> </w:t>
      </w:r>
      <w:r w:rsidRPr="00AE7806">
        <w:t>Basel Institute on Governance, International Centre for Asset Recovery, Development Assistance, Asset Recovery and Money Laundering; Making the Connection 6 (2011).</w:t>
      </w:r>
    </w:p>
  </w:footnote>
  <w:footnote w:id="39">
    <w:p w14:paraId="37F0AE66" w14:textId="2D64D334" w:rsidR="006D2CB9" w:rsidRDefault="006D2CB9" w:rsidP="00EB1B5A">
      <w:pPr>
        <w:pStyle w:val="FootnoteText"/>
        <w:jc w:val="left"/>
      </w:pPr>
      <w:r>
        <w:rPr>
          <w:rStyle w:val="FootnoteReference"/>
        </w:rPr>
        <w:footnoteRef/>
      </w:r>
      <w:r>
        <w:t xml:space="preserve"> </w:t>
      </w:r>
      <w:r w:rsidRPr="000B26CF">
        <w:t xml:space="preserve">Brun J., Gray L., Scott C. </w:t>
      </w:r>
      <w:r>
        <w:t xml:space="preserve">&amp; Stephenson K. M. (2011), </w:t>
      </w:r>
      <w:r>
        <w:rPr>
          <w:i/>
          <w:iCs/>
        </w:rPr>
        <w:t>Asset Recovery Handbook: A Guide for Practitioners</w:t>
      </w:r>
      <w:r>
        <w:t xml:space="preserve">, Stolen Asset Recovery Initiative – The World Bank/UNODC, </w:t>
      </w:r>
      <w:r w:rsidRPr="00512389">
        <w:rPr>
          <w:i/>
          <w:iCs/>
        </w:rPr>
        <w:t>supra</w:t>
      </w:r>
      <w:r>
        <w:t xml:space="preserve">, </w:t>
      </w:r>
      <w:r w:rsidRPr="00512389">
        <w:t>p</w:t>
      </w:r>
      <w:r w:rsidRPr="000B26CF">
        <w:t xml:space="preserve">. </w:t>
      </w:r>
      <w:r>
        <w:t>76-77.</w:t>
      </w:r>
    </w:p>
  </w:footnote>
  <w:footnote w:id="40">
    <w:p w14:paraId="415E6B6C" w14:textId="1AA0FCDC" w:rsidR="006D2CB9" w:rsidRDefault="006D2CB9" w:rsidP="00116819">
      <w:pPr>
        <w:pStyle w:val="FootnoteText"/>
        <w:jc w:val="left"/>
      </w:pPr>
      <w:r>
        <w:rPr>
          <w:rStyle w:val="FootnoteReference"/>
        </w:rPr>
        <w:footnoteRef/>
      </w:r>
      <w:r>
        <w:t xml:space="preserve"> </w:t>
      </w:r>
      <w:r w:rsidRPr="00AE7806">
        <w:rPr>
          <w:rFonts w:asciiTheme="majorBidi" w:hAnsiTheme="majorBidi" w:cstheme="majorBidi"/>
          <w:i/>
        </w:rPr>
        <w:t>UN General Assembly United Nations Convention Against Corruption</w:t>
      </w:r>
      <w:r w:rsidRPr="00AE7806">
        <w:rPr>
          <w:rFonts w:asciiTheme="majorBidi" w:hAnsiTheme="majorBidi" w:cstheme="majorBidi"/>
          <w:iCs/>
        </w:rPr>
        <w:t>, 31 October 2003, A/58/422</w:t>
      </w:r>
      <w:r>
        <w:rPr>
          <w:rFonts w:asciiTheme="majorBidi" w:hAnsiTheme="majorBidi" w:cstheme="majorBidi"/>
          <w:iCs/>
        </w:rPr>
        <w:t>.</w:t>
      </w:r>
    </w:p>
  </w:footnote>
  <w:footnote w:id="41">
    <w:p w14:paraId="0E6D08FF" w14:textId="51455344" w:rsidR="006D2CB9" w:rsidRDefault="006D2CB9" w:rsidP="00116819">
      <w:pPr>
        <w:pStyle w:val="FootnoteText"/>
        <w:jc w:val="left"/>
      </w:pPr>
      <w:r>
        <w:rPr>
          <w:rStyle w:val="FootnoteReference"/>
        </w:rPr>
        <w:footnoteRef/>
      </w:r>
      <w:r>
        <w:t xml:space="preserve"> </w:t>
      </w:r>
      <w:r w:rsidRPr="00AE7806">
        <w:rPr>
          <w:rFonts w:asciiTheme="majorBidi" w:eastAsia="Times New Roman" w:hAnsiTheme="majorBidi" w:cstheme="majorBidi"/>
          <w:i/>
          <w:iCs/>
          <w:color w:val="212529"/>
          <w:lang w:eastAsia="ko-KR"/>
        </w:rPr>
        <w:t>An Act to amend the Criminal Code in order to implement the United Nations Convention against Corruption</w:t>
      </w:r>
      <w:r w:rsidRPr="00AE7806">
        <w:rPr>
          <w:rFonts w:asciiTheme="majorBidi" w:eastAsia="Times New Roman" w:hAnsiTheme="majorBidi" w:cstheme="majorBidi"/>
          <w:color w:val="212529"/>
          <w:lang w:eastAsia="ko-KR"/>
        </w:rPr>
        <w:t>, S.C. 2007, c. 13.</w:t>
      </w:r>
    </w:p>
  </w:footnote>
  <w:footnote w:id="42">
    <w:p w14:paraId="5FE5B3C8" w14:textId="205238AE" w:rsidR="006D2CB9" w:rsidRDefault="006D2CB9" w:rsidP="00116819">
      <w:pPr>
        <w:pStyle w:val="FootnoteText"/>
        <w:jc w:val="left"/>
      </w:pPr>
      <w:r>
        <w:rPr>
          <w:rStyle w:val="FootnoteReference"/>
        </w:rPr>
        <w:footnoteRef/>
      </w:r>
      <w:r>
        <w:t xml:space="preserve"> </w:t>
      </w:r>
      <w:r w:rsidRPr="00AE7806">
        <w:rPr>
          <w:rFonts w:asciiTheme="majorBidi" w:hAnsiTheme="majorBidi" w:cstheme="majorBidi"/>
          <w:color w:val="000000" w:themeColor="text1"/>
        </w:rPr>
        <w:t xml:space="preserve">Sandage, J. (2015), </w:t>
      </w:r>
      <w:r w:rsidRPr="00AE7806">
        <w:rPr>
          <w:rFonts w:asciiTheme="majorBidi" w:hAnsiTheme="majorBidi" w:cstheme="majorBidi"/>
          <w:i/>
          <w:iCs/>
          <w:color w:val="000000" w:themeColor="text1"/>
        </w:rPr>
        <w:t>supra</w:t>
      </w:r>
      <w:r w:rsidRPr="00AE7806">
        <w:rPr>
          <w:rFonts w:asciiTheme="majorBidi" w:hAnsiTheme="majorBidi" w:cstheme="majorBidi"/>
          <w:color w:val="000000" w:themeColor="text1"/>
        </w:rPr>
        <w:t>, p. 19.</w:t>
      </w:r>
    </w:p>
  </w:footnote>
  <w:footnote w:id="43">
    <w:p w14:paraId="7DD19554" w14:textId="5C48A647" w:rsidR="006D2CB9" w:rsidRDefault="006D2CB9" w:rsidP="00116819">
      <w:pPr>
        <w:pStyle w:val="FootnoteText"/>
        <w:jc w:val="left"/>
      </w:pPr>
      <w:r>
        <w:rPr>
          <w:rStyle w:val="FootnoteReference"/>
        </w:rPr>
        <w:footnoteRef/>
      </w:r>
      <w:r>
        <w:t xml:space="preserve"> </w:t>
      </w:r>
      <w:r w:rsidRPr="00AE7806">
        <w:t>Leasure</w:t>
      </w:r>
      <w:r>
        <w:t>, P.</w:t>
      </w:r>
      <w:r w:rsidRPr="00AE7806">
        <w:t xml:space="preserve"> (2016), </w:t>
      </w:r>
      <w:r>
        <w:t>‘</w:t>
      </w:r>
      <w:r w:rsidRPr="00AE7806">
        <w:rPr>
          <w:rFonts w:asciiTheme="majorBidi" w:hAnsiTheme="majorBidi" w:cstheme="majorBidi"/>
        </w:rPr>
        <w:t xml:space="preserve">Asset recovery in corruption cases: Comparative analysis identifies serious </w:t>
      </w:r>
      <w:r>
        <w:rPr>
          <w:rFonts w:asciiTheme="majorBidi" w:hAnsiTheme="majorBidi" w:cstheme="majorBidi"/>
        </w:rPr>
        <w:t>fl</w:t>
      </w:r>
      <w:r w:rsidRPr="00AE7806">
        <w:rPr>
          <w:rFonts w:asciiTheme="majorBidi" w:hAnsiTheme="majorBidi" w:cstheme="majorBidi"/>
        </w:rPr>
        <w:t>aws in US tracing procedure</w:t>
      </w:r>
      <w:r>
        <w:rPr>
          <w:rFonts w:asciiTheme="majorBidi" w:hAnsiTheme="majorBidi" w:cstheme="majorBidi"/>
        </w:rPr>
        <w:t>’,</w:t>
      </w:r>
      <w:r w:rsidRPr="00AE7806">
        <w:rPr>
          <w:rFonts w:asciiTheme="majorBidi" w:hAnsiTheme="majorBidi" w:cstheme="majorBidi"/>
        </w:rPr>
        <w:t xml:space="preserve"> </w:t>
      </w:r>
      <w:r w:rsidRPr="00F84D3D">
        <w:rPr>
          <w:i/>
          <w:iCs/>
        </w:rPr>
        <w:t>Journal of Money Laundering Control</w:t>
      </w:r>
      <w:r w:rsidRPr="00AE7806">
        <w:t>,</w:t>
      </w:r>
      <w:r>
        <w:t xml:space="preserve"> 19(1),</w:t>
      </w:r>
      <w:r w:rsidRPr="00AE7806">
        <w:t xml:space="preserve"> p. 6.</w:t>
      </w:r>
    </w:p>
  </w:footnote>
  <w:footnote w:id="44">
    <w:p w14:paraId="20D0CD2A" w14:textId="6AE86776" w:rsidR="006D2CB9" w:rsidRDefault="006D2CB9" w:rsidP="00EB2C64">
      <w:pPr>
        <w:pStyle w:val="FootnoteText"/>
        <w:jc w:val="left"/>
      </w:pPr>
      <w:r>
        <w:rPr>
          <w:rStyle w:val="FootnoteReference"/>
        </w:rPr>
        <w:footnoteRef/>
      </w:r>
      <w:r>
        <w:t xml:space="preserve"> </w:t>
      </w:r>
      <w:r w:rsidRPr="00AE7806">
        <w:rPr>
          <w:rFonts w:asciiTheme="majorBidi" w:hAnsiTheme="majorBidi" w:cstheme="majorBidi"/>
        </w:rPr>
        <w:t>Standing Committee on Foreign Affairs and International Development, Number 039, 1</w:t>
      </w:r>
      <w:r w:rsidRPr="00AE7806">
        <w:rPr>
          <w:rFonts w:asciiTheme="majorBidi" w:hAnsiTheme="majorBidi" w:cstheme="majorBidi"/>
          <w:vertAlign w:val="superscript"/>
        </w:rPr>
        <w:t>st</w:t>
      </w:r>
      <w:r w:rsidRPr="00AE7806">
        <w:rPr>
          <w:rFonts w:asciiTheme="majorBidi" w:hAnsiTheme="majorBidi" w:cstheme="majorBidi"/>
        </w:rPr>
        <w:t xml:space="preserve"> Session, 42</w:t>
      </w:r>
      <w:r w:rsidRPr="00AE7806">
        <w:rPr>
          <w:rFonts w:asciiTheme="majorBidi" w:hAnsiTheme="majorBidi" w:cstheme="majorBidi"/>
          <w:vertAlign w:val="superscript"/>
        </w:rPr>
        <w:t>nd</w:t>
      </w:r>
      <w:r w:rsidRPr="00AE7806">
        <w:rPr>
          <w:rFonts w:asciiTheme="majorBidi" w:hAnsiTheme="majorBidi" w:cstheme="majorBidi"/>
        </w:rPr>
        <w:t xml:space="preserve"> Parliament, Monday, December 5, 2016 (1535).</w:t>
      </w:r>
    </w:p>
  </w:footnote>
  <w:footnote w:id="45">
    <w:p w14:paraId="148D8091" w14:textId="2F2F5D2E" w:rsidR="006D2CB9" w:rsidRDefault="006D2CB9" w:rsidP="00EB2C64">
      <w:pPr>
        <w:pStyle w:val="FootnoteText"/>
        <w:jc w:val="left"/>
      </w:pPr>
      <w:r>
        <w:rPr>
          <w:rStyle w:val="FootnoteReference"/>
        </w:rPr>
        <w:footnoteRef/>
      </w:r>
      <w:r>
        <w:t xml:space="preserve"> </w:t>
      </w:r>
      <w:r w:rsidRPr="000B26CF">
        <w:t xml:space="preserve">Brun J., Gray L., Scott C. </w:t>
      </w:r>
      <w:r>
        <w:t xml:space="preserve">&amp; Stephenson K. M. (2011), </w:t>
      </w:r>
      <w:r>
        <w:rPr>
          <w:i/>
          <w:iCs/>
        </w:rPr>
        <w:t>supra</w:t>
      </w:r>
      <w:r w:rsidRPr="000B26CF">
        <w:t>, p. 34.</w:t>
      </w:r>
    </w:p>
  </w:footnote>
  <w:footnote w:id="46">
    <w:p w14:paraId="624F0C40" w14:textId="5986392D" w:rsidR="006D2CB9" w:rsidRDefault="006D2CB9" w:rsidP="00EB2C64">
      <w:pPr>
        <w:pStyle w:val="FootnoteText"/>
        <w:jc w:val="left"/>
      </w:pPr>
      <w:r>
        <w:rPr>
          <w:rStyle w:val="FootnoteReference"/>
        </w:rPr>
        <w:footnoteRef/>
      </w:r>
      <w:r>
        <w:t xml:space="preserve"> </w:t>
      </w:r>
      <w:r w:rsidRPr="00992874">
        <w:rPr>
          <w:rFonts w:asciiTheme="majorBidi" w:hAnsiTheme="majorBidi" w:cstheme="majorBidi"/>
          <w:color w:val="212529"/>
          <w:lang w:val="es-ES_tradnl"/>
        </w:rPr>
        <w:t>[2009] 2 FCR 576, para. 115 (italics added).</w:t>
      </w:r>
    </w:p>
  </w:footnote>
  <w:footnote w:id="47">
    <w:p w14:paraId="010B2710" w14:textId="296AD4D2" w:rsidR="006D2CB9" w:rsidRDefault="006D2CB9" w:rsidP="00984AE4">
      <w:pPr>
        <w:pStyle w:val="FootnoteText"/>
        <w:jc w:val="left"/>
      </w:pPr>
      <w:r>
        <w:rPr>
          <w:rStyle w:val="FootnoteReference"/>
        </w:rPr>
        <w:footnoteRef/>
      </w:r>
      <w:r>
        <w:t xml:space="preserve"> </w:t>
      </w:r>
      <w:r w:rsidRPr="00992874">
        <w:rPr>
          <w:lang w:val="es-ES_tradnl"/>
        </w:rPr>
        <w:t>Ibid, paras 117-118.</w:t>
      </w:r>
    </w:p>
  </w:footnote>
  <w:footnote w:id="48">
    <w:p w14:paraId="2D36BA21" w14:textId="25D040BF" w:rsidR="006D2CB9" w:rsidRDefault="006D2CB9">
      <w:pPr>
        <w:pStyle w:val="FootnoteText"/>
      </w:pPr>
      <w:r>
        <w:rPr>
          <w:rStyle w:val="FootnoteReference"/>
        </w:rPr>
        <w:footnoteRef/>
      </w:r>
      <w:r>
        <w:t xml:space="preserve"> </w:t>
      </w:r>
      <w:r w:rsidRPr="00992874">
        <w:rPr>
          <w:i/>
          <w:iCs/>
          <w:lang w:val="es-ES_tradnl"/>
        </w:rPr>
        <w:t>R. v. Rhee</w:t>
      </w:r>
      <w:r w:rsidRPr="00992874">
        <w:rPr>
          <w:lang w:val="es-ES_tradnl"/>
        </w:rPr>
        <w:t xml:space="preserve">, [2001] 3 S.C.R. 364, at para. </w:t>
      </w:r>
      <w:r>
        <w:t>51 (LeBel J., dissenting, but not on this point): “the standard of proof beyond a reasonable doubt is distinct from, and a higher standard than, proof on a balance of probabilities.”</w:t>
      </w:r>
    </w:p>
  </w:footnote>
  <w:footnote w:id="49">
    <w:p w14:paraId="0CF9A9B2" w14:textId="7F1A443E" w:rsidR="006D2CB9" w:rsidRDefault="006D2CB9" w:rsidP="00966D39">
      <w:pPr>
        <w:pStyle w:val="FootnoteText"/>
        <w:jc w:val="left"/>
      </w:pPr>
      <w:r>
        <w:rPr>
          <w:rStyle w:val="FootnoteReference"/>
        </w:rPr>
        <w:footnoteRef/>
      </w:r>
      <w:r>
        <w:t xml:space="preserve"> </w:t>
      </w:r>
      <w:r w:rsidRPr="00992874">
        <w:rPr>
          <w:i/>
          <w:iCs/>
          <w:lang w:val="es-ES_tradnl"/>
        </w:rPr>
        <w:t>R. v. Rhee</w:t>
      </w:r>
      <w:r w:rsidRPr="00992874">
        <w:rPr>
          <w:lang w:val="es-ES_tradnl"/>
        </w:rPr>
        <w:t xml:space="preserve">, [2001] 3 S.C.R. 364, at para. </w:t>
      </w:r>
      <w:r>
        <w:t>51 (LeBel J., dissenting, but not on this point): “the standard of proof beyond a reasonable doubt is distinct from, and a higher standard than, proof on a balance of probabilities.”</w:t>
      </w:r>
    </w:p>
  </w:footnote>
  <w:footnote w:id="50">
    <w:p w14:paraId="74EACFDB" w14:textId="0143C3FF" w:rsidR="006D2CB9" w:rsidRDefault="006D2CB9" w:rsidP="00966D39">
      <w:pPr>
        <w:pStyle w:val="FootnoteText"/>
        <w:jc w:val="left"/>
      </w:pPr>
      <w:r>
        <w:rPr>
          <w:rStyle w:val="FootnoteReference"/>
        </w:rPr>
        <w:footnoteRef/>
      </w:r>
      <w:r>
        <w:t xml:space="preserve"> </w:t>
      </w:r>
      <w:r w:rsidRPr="00AE7806">
        <w:t xml:space="preserve">See </w:t>
      </w:r>
      <w:r w:rsidRPr="00AE7806">
        <w:rPr>
          <w:i/>
          <w:iCs/>
        </w:rPr>
        <w:t>Quebec (Attorney General) v. Laroche</w:t>
      </w:r>
      <w:r w:rsidRPr="00AE7806">
        <w:t>, [2002] 3 S</w:t>
      </w:r>
      <w:r>
        <w:t>.</w:t>
      </w:r>
      <w:r w:rsidRPr="00AE7806">
        <w:t>C</w:t>
      </w:r>
      <w:r>
        <w:t>.</w:t>
      </w:r>
      <w:r w:rsidRPr="00AE7806">
        <w:t>R</w:t>
      </w:r>
      <w:r>
        <w:t>.</w:t>
      </w:r>
      <w:r w:rsidRPr="00AE7806">
        <w:t xml:space="preserve"> 708, at para. 32.</w:t>
      </w:r>
    </w:p>
  </w:footnote>
  <w:footnote w:id="51">
    <w:p w14:paraId="0BDF325B" w14:textId="03969C62" w:rsidR="006D2CB9" w:rsidRDefault="006D2CB9" w:rsidP="00E67D86">
      <w:pPr>
        <w:pStyle w:val="FootnoteText"/>
        <w:jc w:val="left"/>
      </w:pPr>
      <w:r>
        <w:rPr>
          <w:rStyle w:val="FootnoteReference"/>
        </w:rPr>
        <w:footnoteRef/>
      </w:r>
      <w:r>
        <w:t xml:space="preserve"> </w:t>
      </w:r>
      <w:r w:rsidR="00E67D86" w:rsidRPr="00A66507">
        <w:t>Hubbard R., Murphy</w:t>
      </w:r>
      <w:r w:rsidR="00E67D86">
        <w:t xml:space="preserve"> D.</w:t>
      </w:r>
      <w:r w:rsidR="00E67D86" w:rsidRPr="00A66507">
        <w:t>, O’Donnell</w:t>
      </w:r>
      <w:r w:rsidR="00E67D86">
        <w:t xml:space="preserve"> F.</w:t>
      </w:r>
      <w:r w:rsidR="00E67D86" w:rsidRPr="00A66507">
        <w:t xml:space="preserve"> </w:t>
      </w:r>
      <w:r w:rsidR="00E67D86">
        <w:t>&amp;</w:t>
      </w:r>
      <w:r w:rsidR="00E67D86" w:rsidRPr="00A66507">
        <w:t xml:space="preserve"> DeFreitas</w:t>
      </w:r>
      <w:r w:rsidR="00E67D86">
        <w:t xml:space="preserve"> P. (2004)</w:t>
      </w:r>
      <w:r w:rsidR="00E67D86" w:rsidRPr="00A66507">
        <w:t xml:space="preserve">, </w:t>
      </w:r>
      <w:r w:rsidR="00E67D86" w:rsidRPr="00A66507">
        <w:rPr>
          <w:i/>
          <w:iCs/>
        </w:rPr>
        <w:t>Money Laundering &amp; Proceeds of crime</w:t>
      </w:r>
      <w:r w:rsidR="00E67D86" w:rsidRPr="00A66507">
        <w:t>, Irwin Law Inc., p. 182.</w:t>
      </w:r>
    </w:p>
  </w:footnote>
  <w:footnote w:id="52">
    <w:p w14:paraId="22286756" w14:textId="15C1040A" w:rsidR="006D2CB9" w:rsidRDefault="006D2CB9" w:rsidP="00E67D86">
      <w:pPr>
        <w:pStyle w:val="FootnoteText"/>
        <w:jc w:val="left"/>
      </w:pPr>
      <w:r>
        <w:rPr>
          <w:rStyle w:val="FootnoteReference"/>
        </w:rPr>
        <w:footnoteRef/>
      </w:r>
      <w:r>
        <w:t xml:space="preserve"> </w:t>
      </w:r>
      <w:r w:rsidR="00E67D86" w:rsidRPr="00AE7806">
        <w:rPr>
          <w:i/>
          <w:iCs/>
        </w:rPr>
        <w:t>R. v. Trac</w:t>
      </w:r>
      <w:r w:rsidR="00E67D86" w:rsidRPr="00AE7806">
        <w:t>, 2013 ONCA 246, paras 79-80</w:t>
      </w:r>
      <w:r w:rsidR="00E67D86">
        <w:t xml:space="preserve"> (italics added)</w:t>
      </w:r>
      <w:r w:rsidR="00E67D86" w:rsidRPr="00AE780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80A7D"/>
    <w:multiLevelType w:val="hybridMultilevel"/>
    <w:tmpl w:val="402A0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E76BE"/>
    <w:multiLevelType w:val="hybridMultilevel"/>
    <w:tmpl w:val="2D1E5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6C61AB"/>
    <w:multiLevelType w:val="hybridMultilevel"/>
    <w:tmpl w:val="7DE4398A"/>
    <w:lvl w:ilvl="0" w:tplc="482C10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1314"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015777"/>
    <w:multiLevelType w:val="hybridMultilevel"/>
    <w:tmpl w:val="4674628C"/>
    <w:lvl w:ilvl="0" w:tplc="878CAB7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MDW1NDYwMDYwMrRU0lEKTi0uzszPAykwqQUAeAPfciwAAAA="/>
  </w:docVars>
  <w:rsids>
    <w:rsidRoot w:val="0053132C"/>
    <w:rsid w:val="000145F4"/>
    <w:rsid w:val="00021ACF"/>
    <w:rsid w:val="00042E4A"/>
    <w:rsid w:val="00071A67"/>
    <w:rsid w:val="00081A06"/>
    <w:rsid w:val="00083E49"/>
    <w:rsid w:val="000A6B0C"/>
    <w:rsid w:val="000C4C6B"/>
    <w:rsid w:val="00116819"/>
    <w:rsid w:val="00126E78"/>
    <w:rsid w:val="00137BC4"/>
    <w:rsid w:val="00144C74"/>
    <w:rsid w:val="00155116"/>
    <w:rsid w:val="001805B9"/>
    <w:rsid w:val="00185E8D"/>
    <w:rsid w:val="00192088"/>
    <w:rsid w:val="001C4FCA"/>
    <w:rsid w:val="001D37B0"/>
    <w:rsid w:val="001F0A7E"/>
    <w:rsid w:val="00213387"/>
    <w:rsid w:val="0021764A"/>
    <w:rsid w:val="0025456F"/>
    <w:rsid w:val="002B4067"/>
    <w:rsid w:val="002F546B"/>
    <w:rsid w:val="00315534"/>
    <w:rsid w:val="0032132D"/>
    <w:rsid w:val="003616B5"/>
    <w:rsid w:val="003A4C4B"/>
    <w:rsid w:val="003B0D62"/>
    <w:rsid w:val="003B562C"/>
    <w:rsid w:val="003E3B5E"/>
    <w:rsid w:val="004314E4"/>
    <w:rsid w:val="00431C7D"/>
    <w:rsid w:val="004621F3"/>
    <w:rsid w:val="00464B7A"/>
    <w:rsid w:val="004B3EC1"/>
    <w:rsid w:val="004B7643"/>
    <w:rsid w:val="004C5EC7"/>
    <w:rsid w:val="00521C5C"/>
    <w:rsid w:val="0052376E"/>
    <w:rsid w:val="00525387"/>
    <w:rsid w:val="0053132C"/>
    <w:rsid w:val="00572E50"/>
    <w:rsid w:val="005751DF"/>
    <w:rsid w:val="005B444C"/>
    <w:rsid w:val="005C0E47"/>
    <w:rsid w:val="0065710B"/>
    <w:rsid w:val="006A1BC6"/>
    <w:rsid w:val="006B396A"/>
    <w:rsid w:val="006B4570"/>
    <w:rsid w:val="006C10E7"/>
    <w:rsid w:val="006D2CB9"/>
    <w:rsid w:val="00727431"/>
    <w:rsid w:val="00765C50"/>
    <w:rsid w:val="007C011F"/>
    <w:rsid w:val="007C1C68"/>
    <w:rsid w:val="007C6A5C"/>
    <w:rsid w:val="007E0947"/>
    <w:rsid w:val="007E32AB"/>
    <w:rsid w:val="00841A50"/>
    <w:rsid w:val="00856A74"/>
    <w:rsid w:val="00891D55"/>
    <w:rsid w:val="008A3F0F"/>
    <w:rsid w:val="008B5D3B"/>
    <w:rsid w:val="008C0B19"/>
    <w:rsid w:val="008E21E8"/>
    <w:rsid w:val="00906FB5"/>
    <w:rsid w:val="00916D29"/>
    <w:rsid w:val="00966D39"/>
    <w:rsid w:val="00972380"/>
    <w:rsid w:val="00984AE4"/>
    <w:rsid w:val="00996F13"/>
    <w:rsid w:val="009A135C"/>
    <w:rsid w:val="009A6C2B"/>
    <w:rsid w:val="009D4A38"/>
    <w:rsid w:val="00A16D6B"/>
    <w:rsid w:val="00A20ED7"/>
    <w:rsid w:val="00A25B7C"/>
    <w:rsid w:val="00A556E1"/>
    <w:rsid w:val="00AA0E71"/>
    <w:rsid w:val="00AB1F60"/>
    <w:rsid w:val="00AB5913"/>
    <w:rsid w:val="00AC0A8B"/>
    <w:rsid w:val="00AC70DA"/>
    <w:rsid w:val="00AF7400"/>
    <w:rsid w:val="00B15CC0"/>
    <w:rsid w:val="00B679B5"/>
    <w:rsid w:val="00B7064C"/>
    <w:rsid w:val="00B9053B"/>
    <w:rsid w:val="00BC3C86"/>
    <w:rsid w:val="00BD433A"/>
    <w:rsid w:val="00BE1FB0"/>
    <w:rsid w:val="00BF66D5"/>
    <w:rsid w:val="00C677FB"/>
    <w:rsid w:val="00C7019F"/>
    <w:rsid w:val="00C76016"/>
    <w:rsid w:val="00CE1DF5"/>
    <w:rsid w:val="00D07509"/>
    <w:rsid w:val="00D340A0"/>
    <w:rsid w:val="00D56B27"/>
    <w:rsid w:val="00D66255"/>
    <w:rsid w:val="00D76729"/>
    <w:rsid w:val="00D95B51"/>
    <w:rsid w:val="00DA42B2"/>
    <w:rsid w:val="00DA5028"/>
    <w:rsid w:val="00DF3EE6"/>
    <w:rsid w:val="00E54233"/>
    <w:rsid w:val="00E60B89"/>
    <w:rsid w:val="00E64CD8"/>
    <w:rsid w:val="00E67D86"/>
    <w:rsid w:val="00E968EF"/>
    <w:rsid w:val="00EA5253"/>
    <w:rsid w:val="00EB1B5A"/>
    <w:rsid w:val="00EB2C64"/>
    <w:rsid w:val="00F023EC"/>
    <w:rsid w:val="00F05157"/>
    <w:rsid w:val="00F16C44"/>
    <w:rsid w:val="00F67C54"/>
    <w:rsid w:val="00F7652F"/>
    <w:rsid w:val="00FA79D4"/>
    <w:rsid w:val="00FD08AA"/>
    <w:rsid w:val="00FD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6662"/>
  <w15:chartTrackingRefBased/>
  <w15:docId w15:val="{AC661F46-7765-485D-802F-8F4DC955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240" w:after="24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996F13"/>
    <w:pPr>
      <w:keepNext/>
      <w:keepLines/>
      <w:spacing w:before="360" w:after="80" w:line="240" w:lineRule="auto"/>
      <w:jc w:val="left"/>
      <w:outlineLvl w:val="1"/>
    </w:pPr>
    <w:rPr>
      <w:rFonts w:eastAsia="Batang" w:cs="Times New Roman"/>
      <w:b/>
      <w:sz w:val="36"/>
      <w:szCs w:val="36"/>
      <w:lang w:val="fr-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E47"/>
    <w:pPr>
      <w:ind w:left="720"/>
      <w:contextualSpacing/>
    </w:pPr>
  </w:style>
  <w:style w:type="paragraph" w:styleId="FootnoteText">
    <w:name w:val="footnote text"/>
    <w:aliases w:val="Footnote Text Char Char Char Char Char,Footnote Text Char Char Char Char Char Char Ch,Char,Footnote ak,Footnote text,Footnote,f,Geneva 9,Font: Geneva 9,Boston 10,fn,footnote text,Footnotes,Footnotes Char Char,Footnotes Char Ch"/>
    <w:basedOn w:val="Normal"/>
    <w:link w:val="FootnoteTextChar"/>
    <w:uiPriority w:val="99"/>
    <w:unhideWhenUsed/>
    <w:rsid w:val="00D66255"/>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Char Char,Footnote ak Char,Footnote text Char,Footnote Char,f Char,Geneva 9 Char,Font: Geneva 9 Char,Boston 10 Char,fn Char,Footnotes Char"/>
    <w:basedOn w:val="DefaultParagraphFont"/>
    <w:link w:val="FootnoteText"/>
    <w:uiPriority w:val="99"/>
    <w:rsid w:val="00D66255"/>
    <w:rPr>
      <w:sz w:val="20"/>
      <w:szCs w:val="20"/>
    </w:rPr>
  </w:style>
  <w:style w:type="character" w:styleId="FootnoteReference">
    <w:name w:val="footnote reference"/>
    <w:basedOn w:val="DefaultParagraphFont"/>
    <w:uiPriority w:val="99"/>
    <w:semiHidden/>
    <w:unhideWhenUsed/>
    <w:rsid w:val="00D66255"/>
    <w:rPr>
      <w:vertAlign w:val="superscript"/>
    </w:rPr>
  </w:style>
  <w:style w:type="character" w:styleId="Hyperlink">
    <w:name w:val="Hyperlink"/>
    <w:basedOn w:val="DefaultParagraphFont"/>
    <w:uiPriority w:val="99"/>
    <w:unhideWhenUsed/>
    <w:rsid w:val="000C4C6B"/>
    <w:rPr>
      <w:color w:val="0000FF"/>
      <w:u w:val="single"/>
    </w:rPr>
  </w:style>
  <w:style w:type="character" w:customStyle="1" w:styleId="fontstyle01">
    <w:name w:val="fontstyle01"/>
    <w:basedOn w:val="DefaultParagraphFont"/>
    <w:rsid w:val="001F0A7E"/>
    <w:rPr>
      <w:rFonts w:ascii="AdvTT5843c571" w:hAnsi="AdvTT5843c571" w:hint="default"/>
      <w:b w:val="0"/>
      <w:bCs w:val="0"/>
      <w:i w:val="0"/>
      <w:iCs w:val="0"/>
      <w:color w:val="000000"/>
      <w:sz w:val="18"/>
      <w:szCs w:val="18"/>
    </w:rPr>
  </w:style>
  <w:style w:type="character" w:customStyle="1" w:styleId="fontstyle21">
    <w:name w:val="fontstyle21"/>
    <w:basedOn w:val="DefaultParagraphFont"/>
    <w:rsid w:val="001F0A7E"/>
    <w:rPr>
      <w:rFonts w:ascii="AdvTTf90d833a.I" w:hAnsi="AdvTTf90d833a.I" w:hint="default"/>
      <w:b w:val="0"/>
      <w:bCs w:val="0"/>
      <w:i w:val="0"/>
      <w:iCs w:val="0"/>
      <w:color w:val="000000"/>
      <w:sz w:val="18"/>
      <w:szCs w:val="18"/>
    </w:rPr>
  </w:style>
  <w:style w:type="paragraph" w:styleId="Subtitle">
    <w:name w:val="Subtitle"/>
    <w:basedOn w:val="Normal"/>
    <w:next w:val="Normal"/>
    <w:link w:val="SubtitleChar"/>
    <w:rsid w:val="004B3EC1"/>
    <w:pPr>
      <w:keepNext/>
      <w:keepLines/>
      <w:spacing w:before="360" w:after="80" w:line="240" w:lineRule="auto"/>
      <w:jc w:val="left"/>
    </w:pPr>
    <w:rPr>
      <w:rFonts w:ascii="Georgia" w:eastAsia="Georgia" w:hAnsi="Georgia" w:cs="Georgia"/>
      <w:i/>
      <w:color w:val="666666"/>
      <w:sz w:val="48"/>
      <w:szCs w:val="48"/>
      <w:lang w:val="fr-CA" w:eastAsia="zh-CN"/>
    </w:rPr>
  </w:style>
  <w:style w:type="character" w:customStyle="1" w:styleId="SubtitleChar">
    <w:name w:val="Subtitle Char"/>
    <w:basedOn w:val="DefaultParagraphFont"/>
    <w:link w:val="Subtitle"/>
    <w:rsid w:val="004B3EC1"/>
    <w:rPr>
      <w:rFonts w:ascii="Georgia" w:eastAsia="Georgia" w:hAnsi="Georgia" w:cs="Georgia"/>
      <w:i/>
      <w:color w:val="666666"/>
      <w:sz w:val="48"/>
      <w:szCs w:val="48"/>
      <w:lang w:val="fr-CA" w:eastAsia="zh-CN"/>
    </w:rPr>
  </w:style>
  <w:style w:type="character" w:customStyle="1" w:styleId="Heading2Char">
    <w:name w:val="Heading 2 Char"/>
    <w:basedOn w:val="DefaultParagraphFont"/>
    <w:link w:val="Heading2"/>
    <w:uiPriority w:val="9"/>
    <w:rsid w:val="00996F13"/>
    <w:rPr>
      <w:rFonts w:eastAsia="Batang" w:cs="Times New Roman"/>
      <w:b/>
      <w:sz w:val="36"/>
      <w:szCs w:val="36"/>
      <w:lang w:val="fr-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s.gc.ca/collections/collection_2011/bcp-pco/CP1-3-2011-eng.pdf" TargetMode="External"/><Relationship Id="rId2" Type="http://schemas.openxmlformats.org/officeDocument/2006/relationships/hyperlink" Target="https://www.tbs-sct.gc.ca/pol/doc-eng.aspx?id=25049" TargetMode="External"/><Relationship Id="rId1" Type="http://schemas.openxmlformats.org/officeDocument/2006/relationships/hyperlink" Target="https://doi.org/10.7202/1066349ar" TargetMode="External"/><Relationship Id="rId4" Type="http://schemas.openxmlformats.org/officeDocument/2006/relationships/hyperlink" Target="https://www.noscommunes.ca/About/StandingOrders/appa1-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85AE-F06B-412E-87CF-3A978465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Cự Vũ</dc:creator>
  <cp:keywords/>
  <dc:description/>
  <cp:lastModifiedBy>Thành Cự Vũ</cp:lastModifiedBy>
  <cp:revision>45</cp:revision>
  <dcterms:created xsi:type="dcterms:W3CDTF">2020-11-17T16:53:00Z</dcterms:created>
  <dcterms:modified xsi:type="dcterms:W3CDTF">2020-11-21T08:19:00Z</dcterms:modified>
</cp:coreProperties>
</file>